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0" w:rsidRDefault="00EB6510" w:rsidP="00EB6510">
      <w:pPr>
        <w:ind w:left="5664" w:firstLine="708"/>
        <w:jc w:val="both"/>
      </w:pPr>
      <w:r w:rsidRPr="005F70B1">
        <w:t xml:space="preserve">Приложение </w:t>
      </w:r>
      <w:r>
        <w:t xml:space="preserve">№ </w:t>
      </w:r>
      <w:r w:rsidRPr="007E79DE">
        <w:t xml:space="preserve">1 </w:t>
      </w:r>
    </w:p>
    <w:p w:rsidR="00EB6510" w:rsidRDefault="00EB6510" w:rsidP="00EB6510">
      <w:pPr>
        <w:ind w:left="5664" w:firstLine="708"/>
        <w:jc w:val="both"/>
      </w:pPr>
      <w:r>
        <w:t xml:space="preserve">к приказу ТФОМС НАО </w:t>
      </w:r>
    </w:p>
    <w:p w:rsidR="00EB6510" w:rsidRPr="00936B91" w:rsidRDefault="00EB6510" w:rsidP="00EB6510">
      <w:pPr>
        <w:ind w:left="5664" w:firstLine="708"/>
        <w:jc w:val="both"/>
      </w:pPr>
      <w:r w:rsidRPr="000D4ED1">
        <w:t xml:space="preserve">от </w:t>
      </w:r>
      <w:r w:rsidR="00360D0A">
        <w:t>24</w:t>
      </w:r>
      <w:r w:rsidRPr="000D4ED1">
        <w:t>.</w:t>
      </w:r>
      <w:r w:rsidR="002274FE">
        <w:t>0</w:t>
      </w:r>
      <w:r w:rsidR="00360D0A">
        <w:t>4</w:t>
      </w:r>
      <w:r w:rsidRPr="000D4ED1">
        <w:t>.201</w:t>
      </w:r>
      <w:r w:rsidR="002274FE">
        <w:t>8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360D0A">
        <w:t>147</w:t>
      </w:r>
    </w:p>
    <w:p w:rsidR="00EB6510" w:rsidRDefault="00EB6510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A43826" w:rsidRDefault="00E56BAF" w:rsidP="00A4382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1. </w:t>
      </w:r>
      <w:proofErr w:type="gramStart"/>
      <w:r w:rsidR="00460B88">
        <w:t xml:space="preserve">Дополнить таблицы «а)» и «б)» </w:t>
      </w:r>
      <w:r w:rsidR="00A43826">
        <w:t xml:space="preserve">пункта  </w:t>
      </w:r>
      <w:r w:rsidR="00460B88" w:rsidRPr="00460B88">
        <w:t xml:space="preserve">4.3.1.1 </w:t>
      </w:r>
      <w:r w:rsidR="00460B88">
        <w:t>«</w:t>
      </w:r>
      <w:r w:rsidR="00460B88" w:rsidRPr="00460B88">
        <w:t>Первый этап диспансеризации.</w:t>
      </w:r>
      <w:proofErr w:type="gramEnd"/>
      <w:r w:rsidR="00460B88" w:rsidRPr="00460B88">
        <w:t xml:space="preserve"> Выполнено более 85% мероприятий первого  этапа</w:t>
      </w:r>
      <w:r w:rsidR="00A43826">
        <w:t>»,  следующим содержанием:</w:t>
      </w:r>
    </w:p>
    <w:p w:rsidR="00A43826" w:rsidRDefault="00A43826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  <w:r>
        <w:t>«</w:t>
      </w:r>
    </w:p>
    <w:p w:rsidR="00433627" w:rsidRDefault="00433627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64"/>
        <w:gridCol w:w="6946"/>
      </w:tblGrid>
      <w:tr w:rsidR="00460B88" w:rsidRPr="00872801" w:rsidTr="00537D83">
        <w:trPr>
          <w:trHeight w:val="1149"/>
        </w:trPr>
        <w:tc>
          <w:tcPr>
            <w:tcW w:w="503" w:type="dxa"/>
            <w:shd w:val="clear" w:color="auto" w:fill="auto"/>
          </w:tcPr>
          <w:p w:rsidR="00460B88" w:rsidRDefault="00460B88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shd w:val="clear" w:color="auto" w:fill="auto"/>
            <w:noWrap/>
          </w:tcPr>
          <w:p w:rsidR="00460B88" w:rsidRPr="00872801" w:rsidRDefault="00460B88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6946" w:type="dxa"/>
            <w:shd w:val="clear" w:color="auto" w:fill="auto"/>
          </w:tcPr>
          <w:p w:rsidR="00460B88" w:rsidRDefault="00460B88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пункт соответствующий категории ЗЛ, например:</w:t>
            </w:r>
          </w:p>
          <w:p w:rsidR="00460B88" w:rsidRDefault="00460B88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</w:t>
            </w:r>
          </w:p>
          <w:p w:rsidR="00460B88" w:rsidRDefault="00460B88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</w:p>
          <w:p w:rsidR="00460B88" w:rsidRPr="00872801" w:rsidRDefault="00460B88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</w:tbl>
    <w:p w:rsidR="00433627" w:rsidRDefault="00433627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A43826" w:rsidRDefault="00A43826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  <w:r>
        <w:t>»</w:t>
      </w:r>
    </w:p>
    <w:p w:rsidR="002A11B0" w:rsidRPr="00041CEB" w:rsidRDefault="002A11B0" w:rsidP="00860A81">
      <w:pPr>
        <w:rPr>
          <w:sz w:val="16"/>
          <w:szCs w:val="16"/>
        </w:rPr>
      </w:pPr>
    </w:p>
    <w:p w:rsidR="00E56BAF" w:rsidRDefault="00E56BAF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2.  </w:t>
      </w:r>
      <w:r w:rsidR="00460B88">
        <w:t>Дополнить  таблицы Приложения</w:t>
      </w:r>
      <w:proofErr w:type="gramStart"/>
      <w:r w:rsidR="00460B88">
        <w:t xml:space="preserve"> Б</w:t>
      </w:r>
      <w:proofErr w:type="gramEnd"/>
      <w:r w:rsidR="00460B88">
        <w:t xml:space="preserve"> к «Порядку составления реестров счетов на оплату  оказанной медицинской помощи» следующим содержанием:</w:t>
      </w:r>
    </w:p>
    <w:p w:rsidR="00460B88" w:rsidRDefault="00460B8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</w:p>
    <w:p w:rsidR="00460B88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  </w:t>
      </w:r>
      <w:r w:rsidR="00912C9C">
        <w:tab/>
      </w:r>
      <w:r>
        <w:t>2.1</w:t>
      </w:r>
      <w:r>
        <w:tab/>
      </w:r>
      <w:r w:rsidR="00537D83">
        <w:t>П</w:t>
      </w:r>
      <w:r w:rsidR="00460B88">
        <w:t>ункт 14 Таблицы</w:t>
      </w:r>
      <w:r w:rsidR="00460B88" w:rsidRPr="00460B88">
        <w:t xml:space="preserve"> 1 </w:t>
      </w:r>
      <w:r w:rsidR="00460B88">
        <w:t>«</w:t>
      </w:r>
      <w:r w:rsidR="00460B88" w:rsidRPr="00460B88">
        <w:t>Перечень осмотров врачами-специалистами, исследований и иных медицинских мероприятий, проводимых в рамках первого этапа диспансеризации, проводимой 1 раз в 3 года, в определенные возрастные периоды гражданам мужского пола в возрасте от 21лет и старше</w:t>
      </w:r>
      <w:r w:rsidR="00460B88">
        <w:t>» дополнить следующими кодами услуг:</w:t>
      </w:r>
    </w:p>
    <w:p w:rsidR="00460B88" w:rsidRDefault="00460B8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1. B04.047.004</w:t>
      </w:r>
    </w:p>
    <w:p w:rsidR="00460B88" w:rsidRDefault="00460B8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2. B04.026.002</w:t>
      </w:r>
    </w:p>
    <w:p w:rsidR="00460B88" w:rsidRPr="00984ED8" w:rsidRDefault="00460B8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  <w:rPr>
          <w:sz w:val="16"/>
          <w:szCs w:val="16"/>
        </w:rPr>
      </w:pPr>
    </w:p>
    <w:p w:rsidR="00460B88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  </w:t>
      </w:r>
      <w:r w:rsidR="00912C9C">
        <w:tab/>
      </w:r>
      <w:r w:rsidR="00460B88">
        <w:t xml:space="preserve">2.2 </w:t>
      </w:r>
      <w:r>
        <w:tab/>
      </w:r>
      <w:r w:rsidR="00984ED8">
        <w:t>П</w:t>
      </w:r>
      <w:r w:rsidR="00460B88">
        <w:t>ункт 15 Таблицы</w:t>
      </w:r>
      <w:r w:rsidR="00460B88" w:rsidRPr="00460B88">
        <w:t xml:space="preserve"> 2 </w:t>
      </w:r>
      <w:r w:rsidR="00460B88">
        <w:t>«</w:t>
      </w:r>
      <w:r w:rsidR="00460B88" w:rsidRPr="00460B88">
        <w:t>Перечень осмотров врачами-специалистами, исследований и иных медицинских мероприятий, проводимых в рамках первого этапа диспансеризации, проводимой 1 раз в 3 года, в определенные возрастные периоды гражданам женского пола в возрасте от 21 лет и старше</w:t>
      </w:r>
      <w:r w:rsidR="00460B88">
        <w:t>»</w:t>
      </w:r>
      <w:r w:rsidR="00460B88" w:rsidRPr="00460B88">
        <w:t xml:space="preserve"> </w:t>
      </w:r>
      <w:r w:rsidR="00460B88">
        <w:t>дополнить следующими кодами услуг:</w:t>
      </w:r>
    </w:p>
    <w:p w:rsidR="00460B88" w:rsidRDefault="00460B8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1. B04.047.004</w:t>
      </w:r>
    </w:p>
    <w:p w:rsidR="00460B88" w:rsidRDefault="00460B8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2. B04.026.002</w:t>
      </w:r>
    </w:p>
    <w:p w:rsidR="004202B6" w:rsidRPr="00984ED8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  <w:rPr>
          <w:sz w:val="16"/>
          <w:szCs w:val="16"/>
        </w:rPr>
      </w:pP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  </w:t>
      </w:r>
      <w:r w:rsidR="00912C9C">
        <w:tab/>
      </w:r>
      <w:r>
        <w:t>2.3</w:t>
      </w:r>
      <w:r>
        <w:tab/>
      </w:r>
      <w:r w:rsidR="00984ED8">
        <w:t>П</w:t>
      </w:r>
      <w:r>
        <w:t xml:space="preserve">ункта 11 </w:t>
      </w:r>
      <w:r w:rsidRPr="004202B6">
        <w:t>Таблиц</w:t>
      </w:r>
      <w:r>
        <w:t>ы 3</w:t>
      </w:r>
      <w:r w:rsidRPr="004202B6">
        <w:t xml:space="preserve"> </w:t>
      </w:r>
      <w:r>
        <w:t>«</w:t>
      </w:r>
      <w:r w:rsidRPr="004202B6">
        <w:t>Перечень осмотров врачами-специалистами, исследований и иных медицинских мероприятий, проводимых в рамках второго этапа диспансеризации, проводимой 1 раз в 3 года, в определенные возрастные периоды для граждан от 21 и старше</w:t>
      </w:r>
      <w:r>
        <w:t>» дополнить следующими кодами услуг: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1. B04.047.004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2. B04.026.002</w:t>
      </w:r>
    </w:p>
    <w:p w:rsidR="004202B6" w:rsidRPr="00984ED8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  <w:rPr>
          <w:sz w:val="16"/>
          <w:szCs w:val="16"/>
        </w:rPr>
      </w:pP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  </w:t>
      </w:r>
      <w:r w:rsidR="00912C9C">
        <w:tab/>
      </w:r>
      <w:r>
        <w:t>2.4</w:t>
      </w:r>
      <w:r>
        <w:tab/>
        <w:t xml:space="preserve"> </w:t>
      </w:r>
      <w:r w:rsidR="00984ED8">
        <w:t>П</w:t>
      </w:r>
      <w:r>
        <w:t>ункт 2 Таблицы 4</w:t>
      </w:r>
      <w:r w:rsidRPr="004202B6">
        <w:t xml:space="preserve"> </w:t>
      </w:r>
      <w:r>
        <w:t>«</w:t>
      </w:r>
      <w:r w:rsidRPr="004202B6">
        <w:t>Перечень осмотров врачами-специалистами, исследований и иных медицинских мероприятий, проводимых в рамках первого этапа диспансеризации, проводимой 1 раз в 2 года, в определенные возрастные периоды гражданам мужского пола в возрасте от 21лет и старше</w:t>
      </w:r>
      <w:r>
        <w:t>» дополнить следующими кодами услуг: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1. B04.047.004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2. B04.026.002</w:t>
      </w:r>
    </w:p>
    <w:p w:rsidR="004202B6" w:rsidRPr="00984ED8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  <w:rPr>
          <w:sz w:val="16"/>
          <w:szCs w:val="16"/>
        </w:rPr>
      </w:pPr>
    </w:p>
    <w:p w:rsidR="004202B6" w:rsidRPr="00984ED8" w:rsidRDefault="00460B8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</w:t>
      </w:r>
      <w:r w:rsidR="004202B6">
        <w:t xml:space="preserve">   </w:t>
      </w:r>
      <w:r w:rsidR="00912C9C">
        <w:tab/>
      </w:r>
      <w:r w:rsidR="004202B6">
        <w:t>2.5</w:t>
      </w:r>
      <w:r w:rsidR="004202B6">
        <w:tab/>
        <w:t xml:space="preserve"> </w:t>
      </w:r>
      <w:r w:rsidR="00984ED8">
        <w:t>П</w:t>
      </w:r>
      <w:r w:rsidR="004202B6">
        <w:t xml:space="preserve">ункт 3 </w:t>
      </w:r>
      <w:r w:rsidR="004202B6">
        <w:rPr>
          <w:rFonts w:eastAsia="Times New Roman"/>
          <w:szCs w:val="22"/>
          <w:lang w:eastAsia="ru-RU"/>
        </w:rPr>
        <w:t>Таблицы 5</w:t>
      </w:r>
      <w:r w:rsidR="004202B6" w:rsidRPr="00346D38">
        <w:rPr>
          <w:rFonts w:eastAsia="Times New Roman"/>
          <w:szCs w:val="22"/>
          <w:lang w:eastAsia="ru-RU"/>
        </w:rPr>
        <w:t xml:space="preserve"> </w:t>
      </w:r>
      <w:r w:rsidR="004202B6">
        <w:rPr>
          <w:rFonts w:eastAsia="Times New Roman"/>
          <w:szCs w:val="22"/>
          <w:lang w:eastAsia="ru-RU"/>
        </w:rPr>
        <w:t>«</w:t>
      </w:r>
      <w:r w:rsidR="004202B6" w:rsidRPr="00346D38">
        <w:rPr>
          <w:rFonts w:eastAsia="Times New Roman"/>
          <w:szCs w:val="22"/>
          <w:lang w:eastAsia="ru-RU"/>
        </w:rPr>
        <w:t>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 w:rsidR="004202B6">
        <w:rPr>
          <w:rFonts w:eastAsia="Times New Roman"/>
          <w:szCs w:val="22"/>
          <w:lang w:eastAsia="ru-RU"/>
        </w:rPr>
        <w:t xml:space="preserve">, </w:t>
      </w:r>
      <w:r w:rsidR="004202B6" w:rsidRPr="00984ED8">
        <w:rPr>
          <w:rFonts w:eastAsia="Times New Roman"/>
          <w:szCs w:val="22"/>
          <w:lang w:eastAsia="ru-RU"/>
        </w:rPr>
        <w:t>проводимой 1 раз в 2 года, в определенные возрастные периоды гражданам женского пола в возрасте от 21 лет и старше</w:t>
      </w:r>
      <w:r w:rsidR="004202B6" w:rsidRPr="00984ED8">
        <w:t>» дополнить следующими кодами услуг: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lastRenderedPageBreak/>
        <w:tab/>
        <w:t>1. B04.047.004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2. B04.026.002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>3. В таблице «</w:t>
      </w:r>
      <w:r w:rsidRPr="004202B6">
        <w:t>Объем профилактического медицинского осмотра и число медицинских мероприятий с соответствующими им услугами, составляющее 100% и 85% от объема обследования, установленного для данного возраста мужчин и женщин при прохождении профилактического медицинского осмотра</w:t>
      </w:r>
      <w:r>
        <w:t>» Приложения</w:t>
      </w:r>
      <w:proofErr w:type="gramStart"/>
      <w:r>
        <w:t xml:space="preserve"> В</w:t>
      </w:r>
      <w:proofErr w:type="gramEnd"/>
      <w:r>
        <w:t xml:space="preserve"> к «Порядку составления реестров счетов на оплату оказанной медицинской помощи»:</w:t>
      </w:r>
    </w:p>
    <w:p w:rsidR="004202B6" w:rsidRPr="00984ED8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  <w:rPr>
          <w:sz w:val="16"/>
          <w:szCs w:val="16"/>
        </w:rPr>
      </w:pPr>
      <w:r w:rsidRPr="00984ED8">
        <w:rPr>
          <w:sz w:val="16"/>
          <w:szCs w:val="16"/>
        </w:rPr>
        <w:t xml:space="preserve">   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  </w:t>
      </w:r>
      <w:r w:rsidR="00912C9C">
        <w:tab/>
      </w:r>
      <w:r>
        <w:t>3.1</w:t>
      </w:r>
      <w:r>
        <w:tab/>
      </w:r>
      <w:r w:rsidR="00984ED8">
        <w:t>Медицинское мероприятие</w:t>
      </w:r>
      <w:r>
        <w:t xml:space="preserve"> «Осмотр врача» дополнить следующими кодами услуг: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1. B04.047.004</w:t>
      </w:r>
    </w:p>
    <w:p w:rsidR="004202B6" w:rsidRDefault="004202B6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2. B04.026.002</w:t>
      </w:r>
    </w:p>
    <w:p w:rsidR="00984ED8" w:rsidRPr="00984ED8" w:rsidRDefault="00984ED8" w:rsidP="004202B6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  <w:rPr>
          <w:sz w:val="16"/>
          <w:szCs w:val="16"/>
        </w:rPr>
      </w:pPr>
    </w:p>
    <w:p w:rsidR="00460B88" w:rsidRDefault="004202B6" w:rsidP="00460B88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</w:pPr>
      <w:r>
        <w:t xml:space="preserve">   </w:t>
      </w:r>
      <w:r w:rsidR="00912C9C">
        <w:tab/>
      </w:r>
      <w:r>
        <w:t>3.2</w:t>
      </w:r>
      <w:r>
        <w:tab/>
      </w:r>
      <w:r w:rsidR="00537D83">
        <w:t>Код услуги</w:t>
      </w:r>
      <w:r w:rsidR="00984ED8">
        <w:t xml:space="preserve"> </w:t>
      </w:r>
      <w:r w:rsidR="00984ED8" w:rsidRPr="00537D83">
        <w:t>B01.047.001</w:t>
      </w:r>
      <w:r w:rsidR="00984ED8">
        <w:t xml:space="preserve"> </w:t>
      </w:r>
      <w:r w:rsidR="00537D83">
        <w:t xml:space="preserve">медицинского мероприятия «Осмотр врача» </w:t>
      </w:r>
      <w:proofErr w:type="gramStart"/>
      <w:r w:rsidR="00537D83">
        <w:t xml:space="preserve">заменить на </w:t>
      </w:r>
      <w:r w:rsidR="00984ED8">
        <w:t>код</w:t>
      </w:r>
      <w:proofErr w:type="gramEnd"/>
      <w:r w:rsidR="00984ED8">
        <w:t xml:space="preserve"> услуги </w:t>
      </w:r>
      <w:r w:rsidR="00537D83" w:rsidRPr="00537D83">
        <w:t>В04.047.002</w:t>
      </w:r>
      <w:r w:rsidR="00537D83">
        <w:t>.</w:t>
      </w:r>
    </w:p>
    <w:p w:rsidR="00537D83" w:rsidRDefault="00537D83" w:rsidP="00460B88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</w:pPr>
    </w:p>
    <w:p w:rsidR="00537D83" w:rsidRDefault="00537D83" w:rsidP="00537D83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>4.  В таблице «</w:t>
      </w:r>
      <w:r w:rsidRPr="00537D83"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  <w:r>
        <w:t>» Приложения Г к «Порядку составления реестров счетов на оплату оказанной медицинской помощи» мероприятие «Осмотр врачом-педиатром» дополнить следующими услугами:</w:t>
      </w:r>
    </w:p>
    <w:p w:rsidR="00537D83" w:rsidRPr="00984ED8" w:rsidRDefault="00537D83" w:rsidP="00537D83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  <w:rPr>
          <w:sz w:val="16"/>
          <w:szCs w:val="1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6247"/>
      </w:tblGrid>
      <w:tr w:rsidR="00537D83" w:rsidRPr="00306CF4" w:rsidTr="00984ED8">
        <w:trPr>
          <w:trHeight w:val="312"/>
        </w:trPr>
        <w:tc>
          <w:tcPr>
            <w:tcW w:w="3124" w:type="dxa"/>
            <w:shd w:val="clear" w:color="auto" w:fill="auto"/>
          </w:tcPr>
          <w:p w:rsidR="00537D83" w:rsidRPr="00306CF4" w:rsidRDefault="00537D83" w:rsidP="00F9743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6247" w:type="dxa"/>
            <w:shd w:val="clear" w:color="auto" w:fill="auto"/>
          </w:tcPr>
          <w:p w:rsidR="00537D83" w:rsidRPr="00306CF4" w:rsidRDefault="00537D83" w:rsidP="00F9743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537D83" w:rsidTr="00984ED8">
        <w:trPr>
          <w:trHeight w:val="312"/>
        </w:trPr>
        <w:tc>
          <w:tcPr>
            <w:tcW w:w="3124" w:type="dxa"/>
            <w:shd w:val="clear" w:color="auto" w:fill="auto"/>
            <w:vAlign w:val="center"/>
          </w:tcPr>
          <w:p w:rsidR="00537D83" w:rsidRDefault="00537D83" w:rsidP="00F974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537D83" w:rsidRDefault="00537D83" w:rsidP="00F974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</w:tr>
    </w:tbl>
    <w:p w:rsidR="00537D83" w:rsidRDefault="00537D83" w:rsidP="00537D83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</w:p>
    <w:p w:rsidR="00984ED8" w:rsidRDefault="00984ED8" w:rsidP="00537D83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>
        <w:t>5. В таблице «</w:t>
      </w:r>
      <w:r w:rsidRPr="00984ED8">
        <w:t>Перечень исследований и соответствующих им услуг  при проведении медицинских осмотров несовершеннолетних</w:t>
      </w:r>
      <w:r>
        <w:t>» Приложения</w:t>
      </w:r>
      <w:proofErr w:type="gramStart"/>
      <w:r>
        <w:t xml:space="preserve"> Д</w:t>
      </w:r>
      <w:proofErr w:type="gramEnd"/>
      <w:r>
        <w:t xml:space="preserve"> к «Порядку составления реестров счетов на оплату оказанной медицинской помощи»</w:t>
      </w:r>
      <w:r w:rsidR="009D53D9">
        <w:t xml:space="preserve"> мероприятия</w:t>
      </w:r>
      <w:r>
        <w:t xml:space="preserve"> «Осмотр врачом-педиатром» дополнить следующими услугами:</w:t>
      </w:r>
    </w:p>
    <w:p w:rsidR="00537D83" w:rsidRPr="009D53D9" w:rsidRDefault="00537D83" w:rsidP="00460B88">
      <w:pPr>
        <w:pStyle w:val="a3"/>
        <w:tabs>
          <w:tab w:val="center" w:pos="0"/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6247"/>
      </w:tblGrid>
      <w:tr w:rsidR="009D53D9" w:rsidRPr="00306CF4" w:rsidTr="00F97437">
        <w:trPr>
          <w:trHeight w:val="312"/>
        </w:trPr>
        <w:tc>
          <w:tcPr>
            <w:tcW w:w="3124" w:type="dxa"/>
            <w:shd w:val="clear" w:color="auto" w:fill="auto"/>
          </w:tcPr>
          <w:p w:rsidR="009D53D9" w:rsidRPr="00306CF4" w:rsidRDefault="009D53D9" w:rsidP="00F9743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6247" w:type="dxa"/>
            <w:shd w:val="clear" w:color="auto" w:fill="auto"/>
          </w:tcPr>
          <w:p w:rsidR="009D53D9" w:rsidRPr="00306CF4" w:rsidRDefault="009D53D9" w:rsidP="00F97437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9D53D9" w:rsidTr="00F97437">
        <w:trPr>
          <w:trHeight w:val="312"/>
        </w:trPr>
        <w:tc>
          <w:tcPr>
            <w:tcW w:w="3124" w:type="dxa"/>
            <w:shd w:val="clear" w:color="auto" w:fill="auto"/>
            <w:vAlign w:val="center"/>
          </w:tcPr>
          <w:p w:rsidR="009D53D9" w:rsidRDefault="009D53D9" w:rsidP="00F974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9D53D9" w:rsidRDefault="009D53D9" w:rsidP="00F974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</w:tr>
    </w:tbl>
    <w:p w:rsidR="009D53D9" w:rsidRDefault="009D53D9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D53D9" w:rsidRDefault="009D53D9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6. В пункте «</w:t>
      </w:r>
      <w:r w:rsidRPr="009D53D9">
        <w:t>4.3.3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</w:t>
      </w:r>
      <w:r>
        <w:t xml:space="preserve"> приемную или патронатную семью»:</w:t>
      </w:r>
    </w:p>
    <w:p w:rsidR="009D53D9" w:rsidRDefault="009D53D9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   </w:t>
      </w:r>
      <w:r w:rsidR="00912C9C">
        <w:tab/>
      </w:r>
      <w:r>
        <w:t xml:space="preserve">6.1 </w:t>
      </w:r>
      <w:r w:rsidR="00912C9C">
        <w:tab/>
        <w:t>Таблицу</w:t>
      </w:r>
      <w:r>
        <w:t xml:space="preserve"> «</w:t>
      </w:r>
      <w:r w:rsidRPr="009D53D9">
        <w:t>1)</w:t>
      </w:r>
      <w:r>
        <w:t xml:space="preserve"> </w:t>
      </w:r>
      <w:r w:rsidRPr="009D53D9">
        <w:t>Первый этап диспансеризации</w:t>
      </w:r>
      <w:r>
        <w:t>» переименовать в «</w:t>
      </w:r>
      <w:r w:rsidRPr="009D53D9">
        <w:t>Первый</w:t>
      </w:r>
      <w:r>
        <w:t xml:space="preserve"> и второй</w:t>
      </w:r>
      <w:r w:rsidRPr="009D53D9">
        <w:t xml:space="preserve"> этап</w:t>
      </w:r>
      <w:r>
        <w:t>ы</w:t>
      </w:r>
      <w:r w:rsidRPr="009D53D9">
        <w:t xml:space="preserve"> диспансеризации</w:t>
      </w:r>
      <w:r>
        <w:t>».</w:t>
      </w:r>
    </w:p>
    <w:p w:rsidR="009D53D9" w:rsidRDefault="009D53D9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   </w:t>
      </w:r>
      <w:r w:rsidR="00912C9C">
        <w:tab/>
      </w:r>
      <w:r>
        <w:t>6.2</w:t>
      </w:r>
      <w:r w:rsidR="00912C9C">
        <w:tab/>
        <w:t>Таблицу «2) Второй этап диспансеризации» - исключить.</w:t>
      </w:r>
    </w:p>
    <w:p w:rsidR="00912C9C" w:rsidRDefault="00912C9C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12C9C" w:rsidRDefault="00912C9C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7. В пункте «</w:t>
      </w:r>
      <w:r w:rsidRPr="00912C9C">
        <w:t>4.3.4 Медицинская помощь, оказываемая в рамках профилактических медицинс</w:t>
      </w:r>
      <w:r>
        <w:t>ких осмотров несовершеннолетних»:</w:t>
      </w:r>
    </w:p>
    <w:p w:rsidR="00912C9C" w:rsidRDefault="00912C9C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7.1</w:t>
      </w:r>
      <w:r>
        <w:tab/>
        <w:t xml:space="preserve">Таблицу «1) </w:t>
      </w:r>
      <w:r w:rsidRPr="00912C9C">
        <w:t>Первый этап профилактического медицинского осмотра несовершеннолетних</w:t>
      </w:r>
      <w:r>
        <w:t>» переименовать в «</w:t>
      </w:r>
      <w:r w:rsidRPr="00912C9C">
        <w:t xml:space="preserve">Первый </w:t>
      </w:r>
      <w:r>
        <w:t xml:space="preserve">и второй </w:t>
      </w:r>
      <w:r w:rsidRPr="00912C9C">
        <w:t>этап</w:t>
      </w:r>
      <w:r>
        <w:t>ы</w:t>
      </w:r>
      <w:r w:rsidRPr="00912C9C">
        <w:t xml:space="preserve"> профилактического медицинского осмотра несовершеннолетних</w:t>
      </w:r>
      <w:r>
        <w:t>».</w:t>
      </w:r>
    </w:p>
    <w:p w:rsidR="00912C9C" w:rsidRDefault="00912C9C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ab/>
        <w:t>7.1</w:t>
      </w:r>
      <w:r>
        <w:tab/>
        <w:t xml:space="preserve">Таблицу «2) </w:t>
      </w:r>
      <w:r w:rsidRPr="00912C9C">
        <w:t>Второй этап профилактического медицинс</w:t>
      </w:r>
      <w:r>
        <w:t>кого осмотра несовершеннолетних» - исключить.</w:t>
      </w:r>
    </w:p>
    <w:p w:rsidR="00433627" w:rsidRDefault="00433627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33627" w:rsidRDefault="00433627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lastRenderedPageBreak/>
        <w:t>8. Дополнить таблицу пункта «</w:t>
      </w:r>
      <w:r w:rsidRPr="00433627">
        <w:t>2. Медицинская помощь, оказанная</w:t>
      </w:r>
      <w:r>
        <w:t xml:space="preserve"> в условиях дневного стационара» следующим содержанием:</w:t>
      </w:r>
    </w:p>
    <w:p w:rsidR="00433627" w:rsidRDefault="00433627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433627" w:rsidRDefault="00433627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68"/>
        <w:gridCol w:w="6521"/>
      </w:tblGrid>
      <w:tr w:rsidR="00433627" w:rsidRPr="006370C4" w:rsidTr="00433627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433627" w:rsidRPr="006370C4" w:rsidRDefault="00433627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noWrap/>
          </w:tcPr>
          <w:p w:rsidR="00433627" w:rsidRPr="006370C4" w:rsidRDefault="00433627" w:rsidP="00F9743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6521" w:type="dxa"/>
            <w:shd w:val="clear" w:color="auto" w:fill="auto"/>
          </w:tcPr>
          <w:p w:rsidR="00433627" w:rsidRPr="00ED3FF3" w:rsidRDefault="00433627" w:rsidP="00F974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  <w:bookmarkStart w:id="0" w:name="_GoBack"/>
            <w:bookmarkEnd w:id="0"/>
          </w:p>
        </w:tc>
      </w:tr>
    </w:tbl>
    <w:p w:rsidR="00433627" w:rsidRPr="008844FD" w:rsidRDefault="00433627" w:rsidP="002274FE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33627" w:rsidRDefault="00433627" w:rsidP="002274FE">
      <w:r>
        <w:t>»</w:t>
      </w:r>
    </w:p>
    <w:p w:rsidR="002274FE" w:rsidRDefault="00E56BAF" w:rsidP="002274FE">
      <w:r>
        <w:t>___</w:t>
      </w:r>
    </w:p>
    <w:p w:rsidR="009D53D9" w:rsidRDefault="009D53D9" w:rsidP="002274FE"/>
    <w:sectPr w:rsidR="009D53D9" w:rsidSect="00041C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F58"/>
    <w:rsid w:val="004202B6"/>
    <w:rsid w:val="00422CDE"/>
    <w:rsid w:val="00433627"/>
    <w:rsid w:val="00441B3C"/>
    <w:rsid w:val="00460B26"/>
    <w:rsid w:val="00460B88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72E"/>
    <w:rsid w:val="00752610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913BB"/>
    <w:rsid w:val="00797B5A"/>
    <w:rsid w:val="007B16EA"/>
    <w:rsid w:val="007C0DDF"/>
    <w:rsid w:val="007C0E22"/>
    <w:rsid w:val="007C640F"/>
    <w:rsid w:val="007C6644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55A0"/>
    <w:rsid w:val="00817161"/>
    <w:rsid w:val="00820B1C"/>
    <w:rsid w:val="008231C1"/>
    <w:rsid w:val="00830D31"/>
    <w:rsid w:val="008379FF"/>
    <w:rsid w:val="008457F2"/>
    <w:rsid w:val="00845C13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912C9C"/>
    <w:rsid w:val="0092346A"/>
    <w:rsid w:val="00923938"/>
    <w:rsid w:val="0092426D"/>
    <w:rsid w:val="00930E03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90109"/>
    <w:rsid w:val="009A21CB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6098C"/>
    <w:rsid w:val="00B64ED9"/>
    <w:rsid w:val="00B752CC"/>
    <w:rsid w:val="00B91F96"/>
    <w:rsid w:val="00BA308E"/>
    <w:rsid w:val="00BA59D0"/>
    <w:rsid w:val="00BB068A"/>
    <w:rsid w:val="00BB5D6B"/>
    <w:rsid w:val="00BD5110"/>
    <w:rsid w:val="00BE20F2"/>
    <w:rsid w:val="00BE345C"/>
    <w:rsid w:val="00BF6A47"/>
    <w:rsid w:val="00BF7B0E"/>
    <w:rsid w:val="00C04B2E"/>
    <w:rsid w:val="00C10186"/>
    <w:rsid w:val="00C158F9"/>
    <w:rsid w:val="00C1734E"/>
    <w:rsid w:val="00C21FC9"/>
    <w:rsid w:val="00C33EBA"/>
    <w:rsid w:val="00C422C8"/>
    <w:rsid w:val="00C653DD"/>
    <w:rsid w:val="00C67C30"/>
    <w:rsid w:val="00C71535"/>
    <w:rsid w:val="00C77BE9"/>
    <w:rsid w:val="00C95105"/>
    <w:rsid w:val="00C97B45"/>
    <w:rsid w:val="00C97D0C"/>
    <w:rsid w:val="00CC2441"/>
    <w:rsid w:val="00CC57B0"/>
    <w:rsid w:val="00CD6C58"/>
    <w:rsid w:val="00CE071E"/>
    <w:rsid w:val="00CE5186"/>
    <w:rsid w:val="00CF26F2"/>
    <w:rsid w:val="00D21B75"/>
    <w:rsid w:val="00D240E8"/>
    <w:rsid w:val="00D43509"/>
    <w:rsid w:val="00D448F8"/>
    <w:rsid w:val="00D54152"/>
    <w:rsid w:val="00D60956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3278F"/>
    <w:rsid w:val="00E47ED2"/>
    <w:rsid w:val="00E55F22"/>
    <w:rsid w:val="00E56BAF"/>
    <w:rsid w:val="00E668AA"/>
    <w:rsid w:val="00E8558C"/>
    <w:rsid w:val="00E916C5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6E17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4</cp:revision>
  <cp:lastPrinted>2018-04-24T15:23:00Z</cp:lastPrinted>
  <dcterms:created xsi:type="dcterms:W3CDTF">2018-04-24T13:51:00Z</dcterms:created>
  <dcterms:modified xsi:type="dcterms:W3CDTF">2018-04-25T13:56:00Z</dcterms:modified>
</cp:coreProperties>
</file>