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10" w:rsidRPr="004C7009" w:rsidRDefault="00417EF6" w:rsidP="004C7009">
      <w:pPr>
        <w:ind w:left="11343" w:firstLine="708"/>
        <w:jc w:val="both"/>
        <w:rPr>
          <w:sz w:val="20"/>
          <w:szCs w:val="20"/>
        </w:rPr>
      </w:pPr>
      <w:r w:rsidRPr="004C7009">
        <w:rPr>
          <w:sz w:val="20"/>
          <w:szCs w:val="20"/>
        </w:rPr>
        <w:t xml:space="preserve">              </w:t>
      </w:r>
      <w:r w:rsidR="00EB6510" w:rsidRPr="004C7009">
        <w:rPr>
          <w:sz w:val="20"/>
          <w:szCs w:val="20"/>
        </w:rPr>
        <w:t xml:space="preserve">Приложение № 1 </w:t>
      </w:r>
    </w:p>
    <w:p w:rsidR="00EB6510" w:rsidRPr="004C7009" w:rsidRDefault="00417EF6" w:rsidP="004C7009">
      <w:pPr>
        <w:ind w:left="11343" w:firstLine="708"/>
        <w:jc w:val="both"/>
        <w:rPr>
          <w:sz w:val="20"/>
          <w:szCs w:val="20"/>
        </w:rPr>
      </w:pPr>
      <w:r w:rsidRPr="004C7009">
        <w:rPr>
          <w:sz w:val="20"/>
          <w:szCs w:val="20"/>
        </w:rPr>
        <w:t xml:space="preserve">              </w:t>
      </w:r>
      <w:r w:rsidR="00EB6510" w:rsidRPr="004C7009">
        <w:rPr>
          <w:sz w:val="20"/>
          <w:szCs w:val="20"/>
        </w:rPr>
        <w:t xml:space="preserve">к приказу ТФОМС НАО </w:t>
      </w:r>
    </w:p>
    <w:p w:rsidR="00417EF6" w:rsidRPr="004C7009" w:rsidRDefault="00417EF6" w:rsidP="004C7009">
      <w:pPr>
        <w:ind w:left="11343" w:firstLine="708"/>
        <w:jc w:val="both"/>
        <w:rPr>
          <w:sz w:val="20"/>
          <w:szCs w:val="20"/>
        </w:rPr>
      </w:pPr>
      <w:r w:rsidRPr="004C7009">
        <w:rPr>
          <w:sz w:val="20"/>
          <w:szCs w:val="20"/>
        </w:rPr>
        <w:t xml:space="preserve">              </w:t>
      </w:r>
      <w:r w:rsidR="00EB6510" w:rsidRPr="004C7009">
        <w:rPr>
          <w:sz w:val="20"/>
          <w:szCs w:val="20"/>
        </w:rPr>
        <w:t xml:space="preserve">от </w:t>
      </w:r>
      <w:r w:rsidR="004C7009">
        <w:rPr>
          <w:sz w:val="20"/>
          <w:szCs w:val="20"/>
        </w:rPr>
        <w:t>2</w:t>
      </w:r>
      <w:r w:rsidR="00A52184">
        <w:rPr>
          <w:sz w:val="20"/>
          <w:szCs w:val="20"/>
        </w:rPr>
        <w:t>8</w:t>
      </w:r>
      <w:r w:rsidR="00EB6510" w:rsidRPr="004C7009">
        <w:rPr>
          <w:sz w:val="20"/>
          <w:szCs w:val="20"/>
        </w:rPr>
        <w:t>.</w:t>
      </w:r>
      <w:r w:rsidR="004C7009">
        <w:rPr>
          <w:sz w:val="20"/>
          <w:szCs w:val="20"/>
        </w:rPr>
        <w:t>0</w:t>
      </w:r>
      <w:r w:rsidR="00A91462" w:rsidRPr="004C7009">
        <w:rPr>
          <w:sz w:val="20"/>
          <w:szCs w:val="20"/>
        </w:rPr>
        <w:t>1</w:t>
      </w:r>
      <w:r w:rsidR="00EB6510" w:rsidRPr="004C7009">
        <w:rPr>
          <w:sz w:val="20"/>
          <w:szCs w:val="20"/>
        </w:rPr>
        <w:t>.201</w:t>
      </w:r>
      <w:r w:rsidR="002274FE" w:rsidRPr="004C7009">
        <w:rPr>
          <w:sz w:val="20"/>
          <w:szCs w:val="20"/>
        </w:rPr>
        <w:t>8</w:t>
      </w:r>
      <w:r w:rsidR="00EB6510" w:rsidRPr="004C7009">
        <w:rPr>
          <w:sz w:val="20"/>
          <w:szCs w:val="20"/>
        </w:rPr>
        <w:t xml:space="preserve"> г.  №</w:t>
      </w:r>
      <w:r w:rsidR="00936B91" w:rsidRPr="004C7009">
        <w:rPr>
          <w:sz w:val="20"/>
          <w:szCs w:val="20"/>
        </w:rPr>
        <w:t xml:space="preserve"> </w:t>
      </w:r>
      <w:r w:rsidR="00A52184">
        <w:rPr>
          <w:sz w:val="20"/>
          <w:szCs w:val="20"/>
        </w:rPr>
        <w:t>24</w:t>
      </w:r>
    </w:p>
    <w:p w:rsidR="00417EF6" w:rsidRDefault="00417EF6" w:rsidP="00EB6510">
      <w:pPr>
        <w:ind w:left="5664" w:firstLine="708"/>
        <w:jc w:val="both"/>
      </w:pPr>
    </w:p>
    <w:p w:rsidR="007474DD" w:rsidRDefault="00E56BAF" w:rsidP="004C7009">
      <w:pPr>
        <w:pStyle w:val="a3"/>
        <w:tabs>
          <w:tab w:val="clear" w:pos="4677"/>
          <w:tab w:val="clear" w:pos="9355"/>
        </w:tabs>
        <w:jc w:val="both"/>
      </w:pPr>
      <w:r>
        <w:t xml:space="preserve">1. </w:t>
      </w:r>
      <w:r w:rsidR="007474DD">
        <w:tab/>
      </w:r>
      <w:r w:rsidR="004C7009">
        <w:t xml:space="preserve">Изложить </w:t>
      </w:r>
      <w:r w:rsidR="009C0E73" w:rsidRPr="009C0E73">
        <w:t xml:space="preserve"> </w:t>
      </w:r>
      <w:r w:rsidR="00FC6440">
        <w:t>т</w:t>
      </w:r>
      <w:r w:rsidR="004C7009">
        <w:rPr>
          <w:rFonts w:eastAsia="Times New Roman"/>
          <w:lang w:eastAsia="ru-RU"/>
        </w:rPr>
        <w:t xml:space="preserve">аблицу  </w:t>
      </w:r>
      <w:r w:rsidR="00FC6440">
        <w:rPr>
          <w:rFonts w:eastAsia="Times New Roman"/>
          <w:lang w:eastAsia="ru-RU"/>
        </w:rPr>
        <w:t>«</w:t>
      </w:r>
      <w:r w:rsidR="00FC6440" w:rsidRPr="00FC6440">
        <w:rPr>
          <w:rFonts w:eastAsia="Times New Roman"/>
          <w:lang w:eastAsia="ru-RU"/>
        </w:rPr>
        <w:t>Справочник</w:t>
      </w:r>
      <w:r w:rsidR="00FC6440">
        <w:rPr>
          <w:rFonts w:eastAsia="Times New Roman"/>
          <w:lang w:eastAsia="ru-RU"/>
        </w:rPr>
        <w:t>а</w:t>
      </w:r>
      <w:r w:rsidR="00FC6440" w:rsidRPr="00FC6440">
        <w:rPr>
          <w:rFonts w:eastAsia="Times New Roman"/>
          <w:lang w:eastAsia="ru-RU"/>
        </w:rPr>
        <w:t xml:space="preserve"> применяемых КСЛП в соответствии с «Методическими рекомендациями по способам оплаты медицинской помощи за счёт средств обязательного медицинского страхования»</w:t>
      </w:r>
      <w:r w:rsidR="005C094C">
        <w:rPr>
          <w:rFonts w:eastAsia="Times New Roman"/>
          <w:lang w:eastAsia="ru-RU"/>
        </w:rPr>
        <w:t>»</w:t>
      </w:r>
      <w:r w:rsidR="009C0E73">
        <w:rPr>
          <w:rFonts w:eastAsia="Times New Roman"/>
          <w:b/>
          <w:lang w:eastAsia="ru-RU"/>
        </w:rPr>
        <w:t xml:space="preserve"> </w:t>
      </w:r>
      <w:r w:rsidR="005C094C">
        <w:t>Приложени</w:t>
      </w:r>
      <w:r w:rsidR="004C7009">
        <w:t>я</w:t>
      </w:r>
      <w:r w:rsidR="005C094C">
        <w:t xml:space="preserve"> </w:t>
      </w:r>
      <w:r w:rsidR="00FC6440">
        <w:t>И</w:t>
      </w:r>
      <w:r w:rsidR="009C0E73">
        <w:t xml:space="preserve"> к «Порядку составления реестров счетов на оплату </w:t>
      </w:r>
      <w:r w:rsidR="009C0E73">
        <w:tab/>
        <w:t>оказанной</w:t>
      </w:r>
      <w:r w:rsidR="004C7009">
        <w:t xml:space="preserve"> </w:t>
      </w:r>
      <w:r w:rsidR="009C0E73">
        <w:t>медицинской</w:t>
      </w:r>
      <w:r w:rsidR="004C7009">
        <w:t xml:space="preserve"> </w:t>
      </w:r>
      <w:r w:rsidR="009C0E73">
        <w:t xml:space="preserve">помощи» </w:t>
      </w:r>
      <w:r w:rsidR="004C7009">
        <w:t>в следующей новой редакции</w:t>
      </w:r>
      <w:proofErr w:type="gramStart"/>
      <w:r w:rsidR="009C0E73">
        <w:t xml:space="preserve"> </w:t>
      </w:r>
      <w:r w:rsidR="007474DD">
        <w:t>:</w:t>
      </w:r>
      <w:proofErr w:type="gramEnd"/>
    </w:p>
    <w:p w:rsidR="004C7009" w:rsidRDefault="004C7009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474DD" w:rsidRDefault="007474DD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>«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399"/>
        <w:gridCol w:w="1694"/>
        <w:gridCol w:w="1827"/>
        <w:gridCol w:w="1705"/>
        <w:gridCol w:w="9125"/>
      </w:tblGrid>
      <w:tr w:rsidR="00FC6440" w:rsidRPr="00FC6440" w:rsidTr="00FC6440">
        <w:trPr>
          <w:trHeight w:val="1275"/>
          <w:tblHeader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(код) применяемого коэффициента</w:t>
            </w: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(Элемент /SL_KOEF/IDSL)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причины из приложения N 3 Методических рекомендаций по способам оплаты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коэффициента</w:t>
            </w: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(Элемент /SL_KOEF/Z_SL)</w:t>
            </w:r>
          </w:p>
        </w:tc>
        <w:tc>
          <w:tcPr>
            <w:tcW w:w="9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Условие применения коэффициента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госпитализация детей до 1 года)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FC6440" w:rsidRPr="00FC6440" w:rsidTr="00FC6440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(лица старше 75 лет) (в том числе, включа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 консультацию врача-гериатра)</w:t>
            </w:r>
          </w:p>
        </w:tc>
      </w:tr>
      <w:tr w:rsidR="00FC6440" w:rsidRPr="00FC6440" w:rsidTr="00FC6440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 при нали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чии у него старческой астении</w:t>
            </w:r>
          </w:p>
        </w:tc>
      </w:tr>
      <w:tr w:rsidR="00FC6440" w:rsidRPr="00FC6440" w:rsidTr="00FC6440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Инструкции)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FC6440" w:rsidRPr="00FC6440" w:rsidTr="00FC6440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в рамках одной госпитализации в полном объеме нескольких видов противоопухолевого лечения, относящихся </w:t>
            </w:r>
            <w:proofErr w:type="gram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разным КСГ (перечень возможных сочетаний КСГ представлен в Инструкции)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0.25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(обычные отделения)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</w:t>
            </w: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реанимционныеотделения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Инструкции)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госпитализация детей до 1 года)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FC6440" w:rsidRPr="00FC6440" w:rsidTr="00FC6440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(лица старше 75 лет) (в том числе, включа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 консультацию врача-гериатра)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 при нали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чии у него старческой астении</w:t>
            </w:r>
          </w:p>
        </w:tc>
      </w:tr>
      <w:tr w:rsidR="00FC6440" w:rsidRPr="00FC6440" w:rsidTr="00FC6440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Инструкции)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FC6440" w:rsidRPr="00FC6440" w:rsidTr="00FC6440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в рамках одной госпитализации в полном объеме нескольких видов противоопухолевого лечения, относящихся </w:t>
            </w:r>
            <w:proofErr w:type="gram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разным КСГ (перечень возможных сочетаний КСГ представлен в Инструкции)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0.25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(методика расчета КСЛП представлена в Инструкции)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Инструкции)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</w:t>
            </w:r>
          </w:p>
        </w:tc>
      </w:tr>
      <w:tr w:rsidR="00FC6440" w:rsidRPr="00FC6440" w:rsidTr="00FC6440">
        <w:trPr>
          <w:trHeight w:val="18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I этапа экстракорпорального оплодотворения (стимуляция суперовуляции),</w:t>
            </w: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I-II этапа (стимуляция суперовуляции, получение яйцеклетки), I-III этапа (стимуляция суперовуляции, получение яйцеклетки, экстракорпоральное оплодотворение и культивирование эмбрионов) без последующей </w:t>
            </w: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криоконсервации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эмбрионов (неполный цикл)</w:t>
            </w:r>
            <w:proofErr w:type="gramEnd"/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Полный цикл экстракорпорального оплодотворения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криоконсервацией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эмбрионов</w:t>
            </w:r>
          </w:p>
        </w:tc>
      </w:tr>
      <w:tr w:rsidR="00FC6440" w:rsidRPr="00FC6440" w:rsidTr="00FC6440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0.19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40" w:rsidRPr="00FC6440" w:rsidRDefault="00FC6440" w:rsidP="00FC644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Размораживание </w:t>
            </w: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криоконсервированных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эмбрионов с последующим переносом эмбрионов в полость матки (</w:t>
            </w: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криоперенос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</w:tbl>
    <w:p w:rsidR="004C7009" w:rsidRPr="00FC6440" w:rsidRDefault="004C7009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6A225A" w:rsidRDefault="006A225A" w:rsidP="007474DD">
      <w:pPr>
        <w:pStyle w:val="a3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D922C0" w:rsidRDefault="007474DD" w:rsidP="002274FE">
      <w:r>
        <w:t>»</w:t>
      </w:r>
    </w:p>
    <w:p w:rsidR="00D922C0" w:rsidRDefault="00D922C0" w:rsidP="002274FE">
      <w:bookmarkStart w:id="0" w:name="_GoBack"/>
      <w:bookmarkEnd w:id="0"/>
    </w:p>
    <w:p w:rsidR="002274FE" w:rsidRDefault="00E56BAF" w:rsidP="002274FE">
      <w:r>
        <w:t>___</w:t>
      </w:r>
    </w:p>
    <w:p w:rsidR="009D53D9" w:rsidRDefault="009D53D9" w:rsidP="002274FE"/>
    <w:sectPr w:rsidR="009D53D9" w:rsidSect="004C700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1F"/>
    <w:rsid w:val="00014937"/>
    <w:rsid w:val="000207AE"/>
    <w:rsid w:val="0002210C"/>
    <w:rsid w:val="00037E25"/>
    <w:rsid w:val="000412A2"/>
    <w:rsid w:val="00041CEB"/>
    <w:rsid w:val="0004492A"/>
    <w:rsid w:val="00053425"/>
    <w:rsid w:val="00055B9D"/>
    <w:rsid w:val="00061D68"/>
    <w:rsid w:val="00062E85"/>
    <w:rsid w:val="00066279"/>
    <w:rsid w:val="00083089"/>
    <w:rsid w:val="0008339C"/>
    <w:rsid w:val="00083F38"/>
    <w:rsid w:val="00085EA7"/>
    <w:rsid w:val="00095787"/>
    <w:rsid w:val="000A581A"/>
    <w:rsid w:val="000A7056"/>
    <w:rsid w:val="000B5320"/>
    <w:rsid w:val="000C30C3"/>
    <w:rsid w:val="000C4EA2"/>
    <w:rsid w:val="000E6AEA"/>
    <w:rsid w:val="000F67A6"/>
    <w:rsid w:val="0011005E"/>
    <w:rsid w:val="0011347B"/>
    <w:rsid w:val="00124B54"/>
    <w:rsid w:val="0012622C"/>
    <w:rsid w:val="0013325E"/>
    <w:rsid w:val="001425E5"/>
    <w:rsid w:val="00173EDA"/>
    <w:rsid w:val="00192F4F"/>
    <w:rsid w:val="001A2D15"/>
    <w:rsid w:val="001A49FB"/>
    <w:rsid w:val="001A5131"/>
    <w:rsid w:val="001A5D32"/>
    <w:rsid w:val="001A7B58"/>
    <w:rsid w:val="001B2905"/>
    <w:rsid w:val="001B3FB9"/>
    <w:rsid w:val="001D01A9"/>
    <w:rsid w:val="001D3BB8"/>
    <w:rsid w:val="001E4BD1"/>
    <w:rsid w:val="001E5845"/>
    <w:rsid w:val="001F02CD"/>
    <w:rsid w:val="001F3A6B"/>
    <w:rsid w:val="001F5ED3"/>
    <w:rsid w:val="00200835"/>
    <w:rsid w:val="00213653"/>
    <w:rsid w:val="00217A5B"/>
    <w:rsid w:val="002206C9"/>
    <w:rsid w:val="00220DB1"/>
    <w:rsid w:val="002274FE"/>
    <w:rsid w:val="00237EEE"/>
    <w:rsid w:val="00240DD3"/>
    <w:rsid w:val="00241003"/>
    <w:rsid w:val="00267C4B"/>
    <w:rsid w:val="00275147"/>
    <w:rsid w:val="002871AC"/>
    <w:rsid w:val="002A05B9"/>
    <w:rsid w:val="002A11B0"/>
    <w:rsid w:val="002A58C7"/>
    <w:rsid w:val="002C758F"/>
    <w:rsid w:val="002D50E2"/>
    <w:rsid w:val="002D7D0B"/>
    <w:rsid w:val="002E2E6B"/>
    <w:rsid w:val="002F1B0C"/>
    <w:rsid w:val="002F4915"/>
    <w:rsid w:val="00302B03"/>
    <w:rsid w:val="00303F91"/>
    <w:rsid w:val="003046C9"/>
    <w:rsid w:val="003155FA"/>
    <w:rsid w:val="00336BCA"/>
    <w:rsid w:val="00343493"/>
    <w:rsid w:val="00350F0B"/>
    <w:rsid w:val="00360D0A"/>
    <w:rsid w:val="003710C8"/>
    <w:rsid w:val="003921F2"/>
    <w:rsid w:val="003969A0"/>
    <w:rsid w:val="003B0654"/>
    <w:rsid w:val="003B1B2A"/>
    <w:rsid w:val="003B1E9B"/>
    <w:rsid w:val="003B7DE0"/>
    <w:rsid w:val="003C0A4C"/>
    <w:rsid w:val="003C7A13"/>
    <w:rsid w:val="003D59FD"/>
    <w:rsid w:val="003E15BC"/>
    <w:rsid w:val="003E3CEA"/>
    <w:rsid w:val="003F19AF"/>
    <w:rsid w:val="004015DD"/>
    <w:rsid w:val="004022F3"/>
    <w:rsid w:val="00417EF6"/>
    <w:rsid w:val="00417F58"/>
    <w:rsid w:val="004202B6"/>
    <w:rsid w:val="00422CDE"/>
    <w:rsid w:val="00433627"/>
    <w:rsid w:val="00441B3C"/>
    <w:rsid w:val="00460B26"/>
    <w:rsid w:val="00460B88"/>
    <w:rsid w:val="004728B0"/>
    <w:rsid w:val="00472B97"/>
    <w:rsid w:val="0047438E"/>
    <w:rsid w:val="00475BB7"/>
    <w:rsid w:val="00490DD6"/>
    <w:rsid w:val="00491647"/>
    <w:rsid w:val="004A265C"/>
    <w:rsid w:val="004B0101"/>
    <w:rsid w:val="004B017B"/>
    <w:rsid w:val="004B3A1E"/>
    <w:rsid w:val="004C407C"/>
    <w:rsid w:val="004C693E"/>
    <w:rsid w:val="004C6CA2"/>
    <w:rsid w:val="004C7009"/>
    <w:rsid w:val="004D1341"/>
    <w:rsid w:val="004E0BCA"/>
    <w:rsid w:val="004E605E"/>
    <w:rsid w:val="005056D7"/>
    <w:rsid w:val="005057C8"/>
    <w:rsid w:val="00511D59"/>
    <w:rsid w:val="005123C0"/>
    <w:rsid w:val="0052321F"/>
    <w:rsid w:val="00524EC0"/>
    <w:rsid w:val="00526305"/>
    <w:rsid w:val="00531121"/>
    <w:rsid w:val="005311C0"/>
    <w:rsid w:val="00532239"/>
    <w:rsid w:val="005371C4"/>
    <w:rsid w:val="00537D83"/>
    <w:rsid w:val="005421A0"/>
    <w:rsid w:val="005441C9"/>
    <w:rsid w:val="0057621C"/>
    <w:rsid w:val="00585EC8"/>
    <w:rsid w:val="005901F2"/>
    <w:rsid w:val="00591FD8"/>
    <w:rsid w:val="00594C1C"/>
    <w:rsid w:val="00595714"/>
    <w:rsid w:val="00595D8B"/>
    <w:rsid w:val="00597075"/>
    <w:rsid w:val="00597B3B"/>
    <w:rsid w:val="005A7510"/>
    <w:rsid w:val="005B46E9"/>
    <w:rsid w:val="005C094C"/>
    <w:rsid w:val="005C2DBD"/>
    <w:rsid w:val="005C3AD7"/>
    <w:rsid w:val="005C437D"/>
    <w:rsid w:val="005D0FAB"/>
    <w:rsid w:val="005D728B"/>
    <w:rsid w:val="005F4295"/>
    <w:rsid w:val="00602567"/>
    <w:rsid w:val="00620801"/>
    <w:rsid w:val="0062308C"/>
    <w:rsid w:val="0062362A"/>
    <w:rsid w:val="006316E9"/>
    <w:rsid w:val="0063551F"/>
    <w:rsid w:val="006424D0"/>
    <w:rsid w:val="006457B7"/>
    <w:rsid w:val="00645E0F"/>
    <w:rsid w:val="00651A8D"/>
    <w:rsid w:val="00654BA7"/>
    <w:rsid w:val="006578D5"/>
    <w:rsid w:val="00657D8C"/>
    <w:rsid w:val="006607D3"/>
    <w:rsid w:val="00667514"/>
    <w:rsid w:val="00680465"/>
    <w:rsid w:val="00681A32"/>
    <w:rsid w:val="00682440"/>
    <w:rsid w:val="00690F18"/>
    <w:rsid w:val="006A0976"/>
    <w:rsid w:val="006A225A"/>
    <w:rsid w:val="006A3B31"/>
    <w:rsid w:val="006A3CA6"/>
    <w:rsid w:val="006B1651"/>
    <w:rsid w:val="006C0D9D"/>
    <w:rsid w:val="006C547A"/>
    <w:rsid w:val="006C6936"/>
    <w:rsid w:val="006C7E2E"/>
    <w:rsid w:val="006D0133"/>
    <w:rsid w:val="006E36E3"/>
    <w:rsid w:val="006F065A"/>
    <w:rsid w:val="00707F6D"/>
    <w:rsid w:val="00717C5A"/>
    <w:rsid w:val="007332D4"/>
    <w:rsid w:val="0073375C"/>
    <w:rsid w:val="00742156"/>
    <w:rsid w:val="007474DD"/>
    <w:rsid w:val="0074772E"/>
    <w:rsid w:val="00752610"/>
    <w:rsid w:val="00753EEE"/>
    <w:rsid w:val="00754D13"/>
    <w:rsid w:val="00754EDA"/>
    <w:rsid w:val="007550E7"/>
    <w:rsid w:val="00765CD6"/>
    <w:rsid w:val="00777600"/>
    <w:rsid w:val="00777683"/>
    <w:rsid w:val="00780CFE"/>
    <w:rsid w:val="00782845"/>
    <w:rsid w:val="007913BB"/>
    <w:rsid w:val="00797B5A"/>
    <w:rsid w:val="007B16EA"/>
    <w:rsid w:val="007C0DDF"/>
    <w:rsid w:val="007C0E22"/>
    <w:rsid w:val="007C640F"/>
    <w:rsid w:val="007C6644"/>
    <w:rsid w:val="007D2890"/>
    <w:rsid w:val="007D37A4"/>
    <w:rsid w:val="007D7D41"/>
    <w:rsid w:val="007F071D"/>
    <w:rsid w:val="007F1899"/>
    <w:rsid w:val="007F29B6"/>
    <w:rsid w:val="007F318A"/>
    <w:rsid w:val="007F5C68"/>
    <w:rsid w:val="007F76E7"/>
    <w:rsid w:val="00801AE7"/>
    <w:rsid w:val="00810D31"/>
    <w:rsid w:val="008155A0"/>
    <w:rsid w:val="00817161"/>
    <w:rsid w:val="00820B1C"/>
    <w:rsid w:val="008231C1"/>
    <w:rsid w:val="00830D31"/>
    <w:rsid w:val="008379FF"/>
    <w:rsid w:val="008457F2"/>
    <w:rsid w:val="00845C13"/>
    <w:rsid w:val="00860A81"/>
    <w:rsid w:val="0086261F"/>
    <w:rsid w:val="00872D6C"/>
    <w:rsid w:val="008777B7"/>
    <w:rsid w:val="00877F55"/>
    <w:rsid w:val="0088133E"/>
    <w:rsid w:val="00893515"/>
    <w:rsid w:val="008A3587"/>
    <w:rsid w:val="008B1517"/>
    <w:rsid w:val="008C3890"/>
    <w:rsid w:val="008C67EB"/>
    <w:rsid w:val="008E2868"/>
    <w:rsid w:val="008E6737"/>
    <w:rsid w:val="008F4FC8"/>
    <w:rsid w:val="00912C9C"/>
    <w:rsid w:val="0092346A"/>
    <w:rsid w:val="00923938"/>
    <w:rsid w:val="0092426D"/>
    <w:rsid w:val="00930E03"/>
    <w:rsid w:val="00936B91"/>
    <w:rsid w:val="00954B36"/>
    <w:rsid w:val="0095510E"/>
    <w:rsid w:val="00961BE7"/>
    <w:rsid w:val="00963431"/>
    <w:rsid w:val="009673BD"/>
    <w:rsid w:val="009716A2"/>
    <w:rsid w:val="00972B14"/>
    <w:rsid w:val="00984ED8"/>
    <w:rsid w:val="00990109"/>
    <w:rsid w:val="009A21CB"/>
    <w:rsid w:val="009C0E73"/>
    <w:rsid w:val="009C381F"/>
    <w:rsid w:val="009D53D9"/>
    <w:rsid w:val="009E34AB"/>
    <w:rsid w:val="009E62A1"/>
    <w:rsid w:val="009F527D"/>
    <w:rsid w:val="00A111AE"/>
    <w:rsid w:val="00A21395"/>
    <w:rsid w:val="00A213F6"/>
    <w:rsid w:val="00A35030"/>
    <w:rsid w:val="00A42099"/>
    <w:rsid w:val="00A43826"/>
    <w:rsid w:val="00A47339"/>
    <w:rsid w:val="00A47ABD"/>
    <w:rsid w:val="00A52184"/>
    <w:rsid w:val="00A67DB6"/>
    <w:rsid w:val="00A67F94"/>
    <w:rsid w:val="00A91462"/>
    <w:rsid w:val="00A9524E"/>
    <w:rsid w:val="00AA20B9"/>
    <w:rsid w:val="00AA5113"/>
    <w:rsid w:val="00AA711B"/>
    <w:rsid w:val="00AA71B7"/>
    <w:rsid w:val="00AB2DC1"/>
    <w:rsid w:val="00AB2F6F"/>
    <w:rsid w:val="00AB483F"/>
    <w:rsid w:val="00AD02C1"/>
    <w:rsid w:val="00AD1E84"/>
    <w:rsid w:val="00AD339A"/>
    <w:rsid w:val="00AD5979"/>
    <w:rsid w:val="00AF1B38"/>
    <w:rsid w:val="00B00AE2"/>
    <w:rsid w:val="00B12299"/>
    <w:rsid w:val="00B123CD"/>
    <w:rsid w:val="00B1646F"/>
    <w:rsid w:val="00B23354"/>
    <w:rsid w:val="00B34BD8"/>
    <w:rsid w:val="00B463A7"/>
    <w:rsid w:val="00B6098C"/>
    <w:rsid w:val="00B64ED9"/>
    <w:rsid w:val="00B752CC"/>
    <w:rsid w:val="00B875BE"/>
    <w:rsid w:val="00B91F96"/>
    <w:rsid w:val="00BA308E"/>
    <w:rsid w:val="00BA59D0"/>
    <w:rsid w:val="00BB068A"/>
    <w:rsid w:val="00BB5D6B"/>
    <w:rsid w:val="00BD5110"/>
    <w:rsid w:val="00BE20F2"/>
    <w:rsid w:val="00BE345C"/>
    <w:rsid w:val="00BF0265"/>
    <w:rsid w:val="00BF6A47"/>
    <w:rsid w:val="00BF7B0E"/>
    <w:rsid w:val="00C04B2E"/>
    <w:rsid w:val="00C10186"/>
    <w:rsid w:val="00C158F9"/>
    <w:rsid w:val="00C1734E"/>
    <w:rsid w:val="00C21FC9"/>
    <w:rsid w:val="00C33EBA"/>
    <w:rsid w:val="00C42289"/>
    <w:rsid w:val="00C422C8"/>
    <w:rsid w:val="00C47021"/>
    <w:rsid w:val="00C653DD"/>
    <w:rsid w:val="00C67C30"/>
    <w:rsid w:val="00C71535"/>
    <w:rsid w:val="00C77BE9"/>
    <w:rsid w:val="00C95105"/>
    <w:rsid w:val="00C97B45"/>
    <w:rsid w:val="00C97D0C"/>
    <w:rsid w:val="00CC2441"/>
    <w:rsid w:val="00CC57B0"/>
    <w:rsid w:val="00CD6C58"/>
    <w:rsid w:val="00CE071E"/>
    <w:rsid w:val="00CE5186"/>
    <w:rsid w:val="00CF26F2"/>
    <w:rsid w:val="00D21B75"/>
    <w:rsid w:val="00D240E8"/>
    <w:rsid w:val="00D43509"/>
    <w:rsid w:val="00D448F8"/>
    <w:rsid w:val="00D54152"/>
    <w:rsid w:val="00D60956"/>
    <w:rsid w:val="00D86F4C"/>
    <w:rsid w:val="00D873F9"/>
    <w:rsid w:val="00D922C0"/>
    <w:rsid w:val="00DB4229"/>
    <w:rsid w:val="00DB72CA"/>
    <w:rsid w:val="00DC09C5"/>
    <w:rsid w:val="00DC34AB"/>
    <w:rsid w:val="00DD4E28"/>
    <w:rsid w:val="00DD5967"/>
    <w:rsid w:val="00DE0747"/>
    <w:rsid w:val="00DE3B39"/>
    <w:rsid w:val="00DF192B"/>
    <w:rsid w:val="00DF2F69"/>
    <w:rsid w:val="00E108C9"/>
    <w:rsid w:val="00E169F6"/>
    <w:rsid w:val="00E3278F"/>
    <w:rsid w:val="00E47ED2"/>
    <w:rsid w:val="00E55F22"/>
    <w:rsid w:val="00E56BAF"/>
    <w:rsid w:val="00E668AA"/>
    <w:rsid w:val="00E8558C"/>
    <w:rsid w:val="00E916C5"/>
    <w:rsid w:val="00EA5876"/>
    <w:rsid w:val="00EB6510"/>
    <w:rsid w:val="00EC441C"/>
    <w:rsid w:val="00ED2BD2"/>
    <w:rsid w:val="00ED5AEE"/>
    <w:rsid w:val="00EE3C24"/>
    <w:rsid w:val="00EE5427"/>
    <w:rsid w:val="00EE6D18"/>
    <w:rsid w:val="00EF01A8"/>
    <w:rsid w:val="00F127E5"/>
    <w:rsid w:val="00F12C79"/>
    <w:rsid w:val="00F1343A"/>
    <w:rsid w:val="00F430BB"/>
    <w:rsid w:val="00F71627"/>
    <w:rsid w:val="00F76E17"/>
    <w:rsid w:val="00FA1F3A"/>
    <w:rsid w:val="00FA4E3D"/>
    <w:rsid w:val="00FA74B0"/>
    <w:rsid w:val="00FC55B7"/>
    <w:rsid w:val="00FC6440"/>
    <w:rsid w:val="00FC726F"/>
    <w:rsid w:val="00FE0EE1"/>
    <w:rsid w:val="00FE504D"/>
    <w:rsid w:val="00FE6C36"/>
    <w:rsid w:val="00FF10C9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E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F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74FE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6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261F"/>
    <w:rPr>
      <w:rFonts w:cs="Times New Roman"/>
      <w:sz w:val="24"/>
      <w:szCs w:val="24"/>
    </w:rPr>
  </w:style>
  <w:style w:type="table" w:styleId="a5">
    <w:name w:val="Table Grid"/>
    <w:basedOn w:val="a1"/>
    <w:uiPriority w:val="39"/>
    <w:rsid w:val="0086261F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4FE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E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ku</cp:lastModifiedBy>
  <cp:revision>21</cp:revision>
  <cp:lastPrinted>2019-01-23T12:14:00Z</cp:lastPrinted>
  <dcterms:created xsi:type="dcterms:W3CDTF">2018-04-24T13:51:00Z</dcterms:created>
  <dcterms:modified xsi:type="dcterms:W3CDTF">2019-01-28T07:32:00Z</dcterms:modified>
</cp:coreProperties>
</file>