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Pr="00E64A6A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297B1A">
        <w:rPr>
          <w:rFonts w:ascii="Times New Roman" w:hAnsi="Times New Roman" w:cs="Times New Roman"/>
          <w:sz w:val="24"/>
          <w:szCs w:val="24"/>
        </w:rPr>
        <w:t>04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297B1A">
        <w:rPr>
          <w:rFonts w:ascii="Times New Roman" w:hAnsi="Times New Roman" w:cs="Times New Roman"/>
          <w:sz w:val="24"/>
          <w:szCs w:val="24"/>
        </w:rPr>
        <w:t>02</w:t>
      </w:r>
      <w:r w:rsidRPr="00E8170D">
        <w:rPr>
          <w:rFonts w:ascii="Times New Roman" w:hAnsi="Times New Roman" w:cs="Times New Roman"/>
          <w:sz w:val="24"/>
          <w:szCs w:val="24"/>
        </w:rPr>
        <w:t>.20</w:t>
      </w:r>
      <w:r w:rsidR="00297B1A">
        <w:rPr>
          <w:rFonts w:ascii="Times New Roman" w:hAnsi="Times New Roman" w:cs="Times New Roman"/>
          <w:sz w:val="24"/>
          <w:szCs w:val="24"/>
        </w:rPr>
        <w:t>20</w:t>
      </w:r>
      <w:r w:rsidRPr="00E8170D">
        <w:rPr>
          <w:rFonts w:ascii="Times New Roman" w:hAnsi="Times New Roman" w:cs="Times New Roman"/>
          <w:sz w:val="24"/>
          <w:szCs w:val="24"/>
        </w:rPr>
        <w:t xml:space="preserve">  № </w:t>
      </w:r>
      <w:r w:rsidR="00297B1A">
        <w:rPr>
          <w:rFonts w:ascii="Times New Roman" w:hAnsi="Times New Roman" w:cs="Times New Roman"/>
          <w:sz w:val="24"/>
          <w:szCs w:val="24"/>
        </w:rPr>
        <w:t>41</w:t>
      </w:r>
    </w:p>
    <w:p w:rsidR="00E8170D" w:rsidRPr="003A795F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7328DE" w:rsidRDefault="007328DE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Pr="00E64A6A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3459" w:rsidRPr="00E64A6A" w:rsidRDefault="00D83459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64A6A" w:rsidRDefault="00B91503" w:rsidP="00E64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A83" w:rsidRPr="00B91503">
        <w:rPr>
          <w:rFonts w:ascii="Times New Roman" w:hAnsi="Times New Roman" w:cs="Times New Roman"/>
          <w:sz w:val="24"/>
          <w:szCs w:val="24"/>
        </w:rPr>
        <w:t xml:space="preserve">В Таблице 1. </w:t>
      </w:r>
      <w:r w:rsidR="00D62F70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E96A83" w:rsidRPr="00B91503">
        <w:rPr>
          <w:rFonts w:ascii="Times New Roman" w:hAnsi="Times New Roman" w:cs="Times New Roman"/>
          <w:sz w:val="24"/>
          <w:szCs w:val="24"/>
        </w:rPr>
        <w:t>«</w:t>
      </w:r>
      <w:r w:rsidR="00D62F70" w:rsidRPr="00D62F70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E96A83" w:rsidRPr="00B91503">
        <w:rPr>
          <w:rFonts w:ascii="Times New Roman" w:hAnsi="Times New Roman" w:cs="Times New Roman"/>
          <w:sz w:val="24"/>
          <w:szCs w:val="24"/>
        </w:rPr>
        <w:t>»</w:t>
      </w:r>
      <w:r w:rsidR="00E96A83"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4A6A" w:rsidRDefault="00420C02" w:rsidP="0042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строку с </w:t>
      </w:r>
      <w:r w:rsidR="008C48B2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48B2">
        <w:rPr>
          <w:rFonts w:ascii="Times New Roman" w:hAnsi="Times New Roman" w:cs="Times New Roman"/>
          <w:sz w:val="24"/>
          <w:szCs w:val="24"/>
        </w:rPr>
        <w:t xml:space="preserve">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="008C48B2" w:rsidRPr="008C48B2">
        <w:rPr>
          <w:rFonts w:ascii="Times New Roman" w:hAnsi="Times New Roman" w:cs="Times New Roman"/>
          <w:sz w:val="24"/>
          <w:szCs w:val="24"/>
        </w:rPr>
        <w:t xml:space="preserve"> </w:t>
      </w:r>
      <w:r w:rsidR="008C4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 w:rsidR="008C48B2">
        <w:rPr>
          <w:rFonts w:ascii="Times New Roman" w:hAnsi="Times New Roman" w:cs="Times New Roman"/>
          <w:sz w:val="24"/>
          <w:szCs w:val="24"/>
        </w:rPr>
        <w:t xml:space="preserve">» элемента </w:t>
      </w:r>
      <w:r w:rsidR="00906B94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8C48B2" w:rsidRPr="008C48B2">
        <w:rPr>
          <w:rFonts w:ascii="Times New Roman" w:hAnsi="Times New Roman" w:cs="Times New Roman"/>
          <w:sz w:val="24"/>
          <w:szCs w:val="24"/>
        </w:rPr>
        <w:t xml:space="preserve"> </w:t>
      </w:r>
      <w:r w:rsidR="008C48B2">
        <w:rPr>
          <w:rFonts w:ascii="Times New Roman" w:hAnsi="Times New Roman" w:cs="Times New Roman"/>
          <w:sz w:val="24"/>
          <w:szCs w:val="24"/>
        </w:rPr>
        <w:t>«</w:t>
      </w:r>
      <w:r w:rsidR="00906B94"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 w:rsidR="008C48B2">
        <w:rPr>
          <w:rFonts w:ascii="Times New Roman" w:hAnsi="Times New Roman" w:cs="Times New Roman"/>
          <w:sz w:val="24"/>
          <w:szCs w:val="24"/>
        </w:rPr>
        <w:t>»</w:t>
      </w:r>
      <w:r w:rsidR="00906B94" w:rsidRPr="00906B94">
        <w:rPr>
          <w:rFonts w:ascii="Times New Roman" w:hAnsi="Times New Roman" w:cs="Times New Roman"/>
          <w:sz w:val="24"/>
          <w:szCs w:val="24"/>
        </w:rPr>
        <w:t xml:space="preserve"> </w:t>
      </w:r>
      <w:r w:rsidR="00906B94"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7328DE" w:rsidRDefault="00906B94" w:rsidP="00906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9"/>
        <w:gridCol w:w="4847"/>
      </w:tblGrid>
      <w:tr w:rsidR="00906B94" w:rsidRPr="007E06A2" w:rsidTr="00B37F7A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906B94" w:rsidRPr="007E06A2" w:rsidRDefault="00906B94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906B94" w:rsidRPr="00943F62" w:rsidRDefault="00906B94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906B94" w:rsidRPr="00906B94" w:rsidRDefault="00906B94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906B94" w:rsidRPr="00943F62" w:rsidRDefault="00906B94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870" w:type="dxa"/>
            <w:shd w:val="clear" w:color="auto" w:fill="DBE5F1" w:themeFill="accent1" w:themeFillTint="33"/>
            <w:vAlign w:val="center"/>
          </w:tcPr>
          <w:p w:rsidR="00906B94" w:rsidRPr="007E06A2" w:rsidRDefault="00906B94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4856" w:type="dxa"/>
            <w:shd w:val="clear" w:color="auto" w:fill="DBE5F1" w:themeFill="accent1" w:themeFillTint="33"/>
            <w:vAlign w:val="center"/>
          </w:tcPr>
          <w:p w:rsidR="00906B94" w:rsidRPr="002C16CA" w:rsidRDefault="00906B94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</w:tbl>
    <w:p w:rsidR="00906B94" w:rsidRDefault="00906B94" w:rsidP="00906B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420C02" w:rsidRDefault="00420C02" w:rsidP="00420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6A6C">
        <w:rPr>
          <w:rFonts w:ascii="Times New Roman" w:hAnsi="Times New Roman" w:cs="Times New Roman"/>
          <w:sz w:val="24"/>
          <w:szCs w:val="24"/>
        </w:rPr>
        <w:t xml:space="preserve">описанием элемента </w:t>
      </w:r>
      <w:r w:rsidR="00386A6C" w:rsidRPr="00386A6C">
        <w:rPr>
          <w:rFonts w:ascii="Times New Roman" w:hAnsi="Times New Roman" w:cs="Times New Roman"/>
          <w:sz w:val="24"/>
          <w:szCs w:val="24"/>
        </w:rPr>
        <w:t>TELEMED «Телемедицинская услуга (консультация)»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8DE" w:rsidRDefault="00386A6C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26"/>
        <w:gridCol w:w="398"/>
        <w:gridCol w:w="717"/>
        <w:gridCol w:w="1919"/>
        <w:gridCol w:w="4657"/>
      </w:tblGrid>
      <w:tr w:rsidR="00386A6C" w:rsidRPr="00386A6C" w:rsidTr="00CB71E4">
        <w:trPr>
          <w:trHeight w:val="267"/>
        </w:trPr>
        <w:tc>
          <w:tcPr>
            <w:tcW w:w="9860" w:type="dxa"/>
            <w:gridSpan w:val="6"/>
            <w:shd w:val="clear" w:color="auto" w:fill="DBE5F1" w:themeFill="accent1" w:themeFillTint="33"/>
            <w:noWrap/>
            <w:vAlign w:val="center"/>
          </w:tcPr>
          <w:p w:rsidR="00386A6C" w:rsidRPr="00386A6C" w:rsidRDefault="00386A6C" w:rsidP="0038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Телемедицинская услуга (консультация)</w:t>
            </w:r>
          </w:p>
        </w:tc>
      </w:tr>
      <w:tr w:rsidR="00386A6C" w:rsidRPr="007E06A2" w:rsidTr="00386A6C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386A6C" w:rsidRPr="007E06A2" w:rsidRDefault="00386A6C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386A6C" w:rsidRPr="00386A6C" w:rsidRDefault="00386A6C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386A6C" w:rsidRPr="00943F62" w:rsidRDefault="00386A6C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386A6C" w:rsidRPr="00943F62" w:rsidRDefault="00386A6C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386A6C" w:rsidRPr="007E06A2" w:rsidRDefault="00386A6C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386A6C" w:rsidRPr="002C16CA" w:rsidRDefault="00386A6C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386A6C" w:rsidRPr="007E06A2" w:rsidTr="00386A6C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386A6C" w:rsidRPr="007E06A2" w:rsidRDefault="00386A6C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386A6C" w:rsidRDefault="00386A6C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386A6C" w:rsidRPr="00386A6C" w:rsidRDefault="00386A6C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386A6C" w:rsidRPr="00386A6C" w:rsidRDefault="00386A6C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386A6C" w:rsidRDefault="00386A6C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386A6C" w:rsidRPr="002C16CA" w:rsidRDefault="00386A6C" w:rsidP="007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</w:t>
            </w:r>
            <w:r w:rsidR="007A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телемедицинской системе</w:t>
            </w:r>
          </w:p>
        </w:tc>
      </w:tr>
    </w:tbl>
    <w:p w:rsidR="008C48B2" w:rsidRDefault="00386A6C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328DE" w:rsidRDefault="007328DE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795F" w:rsidRDefault="00E64A6A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4A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E64A6A">
        <w:rPr>
          <w:rFonts w:ascii="Times New Roman" w:hAnsi="Times New Roman" w:cs="Times New Roman"/>
          <w:sz w:val="24"/>
          <w:szCs w:val="24"/>
        </w:rPr>
        <w:t>2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64A6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A6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5903">
        <w:rPr>
          <w:rFonts w:ascii="Times New Roman" w:hAnsi="Times New Roman" w:cs="Times New Roman"/>
          <w:sz w:val="24"/>
          <w:szCs w:val="24"/>
        </w:rPr>
        <w:t>:</w:t>
      </w:r>
    </w:p>
    <w:p w:rsidR="007328DE" w:rsidRDefault="007328DE" w:rsidP="007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строку с описанием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>
        <w:rPr>
          <w:rFonts w:ascii="Times New Roman" w:hAnsi="Times New Roman" w:cs="Times New Roman"/>
          <w:sz w:val="24"/>
          <w:szCs w:val="24"/>
        </w:rPr>
        <w:t xml:space="preserve">» элемента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9"/>
        <w:gridCol w:w="4847"/>
      </w:tblGrid>
      <w:tr w:rsidR="007328DE" w:rsidRPr="007E06A2" w:rsidTr="007328DE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328DE" w:rsidRPr="00906B94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</w:tbl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328DE" w:rsidRDefault="007328DE" w:rsidP="007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описанием элемента </w:t>
      </w:r>
      <w:r w:rsidRPr="00386A6C">
        <w:rPr>
          <w:rFonts w:ascii="Times New Roman" w:hAnsi="Times New Roman" w:cs="Times New Roman"/>
          <w:sz w:val="24"/>
          <w:szCs w:val="24"/>
        </w:rPr>
        <w:t>TELEMED «Телемедицинская услуга (консультация)»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8DE" w:rsidRDefault="007328DE" w:rsidP="007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26"/>
        <w:gridCol w:w="398"/>
        <w:gridCol w:w="717"/>
        <w:gridCol w:w="1919"/>
        <w:gridCol w:w="4657"/>
      </w:tblGrid>
      <w:tr w:rsidR="007328DE" w:rsidRPr="00386A6C" w:rsidTr="00B37F7A">
        <w:trPr>
          <w:trHeight w:val="267"/>
        </w:trPr>
        <w:tc>
          <w:tcPr>
            <w:tcW w:w="9860" w:type="dxa"/>
            <w:gridSpan w:val="6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Телемедицинская услуга (консультация)</w:t>
            </w:r>
          </w:p>
        </w:tc>
      </w:tr>
      <w:tr w:rsidR="007328DE" w:rsidRPr="007E06A2" w:rsidTr="00B37F7A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7328DE" w:rsidRPr="007E06A2" w:rsidTr="00B37F7A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7328DE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328DE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обращения телемедицинской системе</w:t>
            </w:r>
          </w:p>
        </w:tc>
      </w:tr>
    </w:tbl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A795F" w:rsidRPr="003A795F" w:rsidRDefault="003A795F" w:rsidP="003A79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577" w:rsidRDefault="00B65577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6E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Таблице 3</w:t>
      </w:r>
      <w:r w:rsidRPr="00B915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пункта 4 «</w:t>
      </w:r>
      <w:r w:rsidR="00746EFA" w:rsidRPr="00746EFA">
        <w:rPr>
          <w:rFonts w:ascii="Times New Roman" w:hAnsi="Times New Roman" w:cs="Times New Roman"/>
          <w:sz w:val="24"/>
          <w:szCs w:val="24"/>
        </w:rPr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FA">
        <w:rPr>
          <w:rFonts w:ascii="Times New Roman" w:hAnsi="Times New Roman" w:cs="Times New Roman"/>
          <w:sz w:val="24"/>
          <w:szCs w:val="24"/>
        </w:rPr>
        <w:t>:</w:t>
      </w:r>
    </w:p>
    <w:p w:rsidR="007328DE" w:rsidRDefault="007328DE" w:rsidP="007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строку с описанием поля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TELEMED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Признак телемедицинской услуги</w:t>
      </w:r>
      <w:r>
        <w:rPr>
          <w:rFonts w:ascii="Times New Roman" w:hAnsi="Times New Roman" w:cs="Times New Roman"/>
          <w:sz w:val="24"/>
          <w:szCs w:val="24"/>
        </w:rPr>
        <w:t xml:space="preserve">» элемента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8C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75"/>
        <w:gridCol w:w="709"/>
        <w:gridCol w:w="709"/>
        <w:gridCol w:w="1879"/>
        <w:gridCol w:w="4847"/>
      </w:tblGrid>
      <w:tr w:rsidR="007328DE" w:rsidRPr="007E06A2" w:rsidTr="007328DE">
        <w:trPr>
          <w:trHeight w:val="267"/>
        </w:trPr>
        <w:tc>
          <w:tcPr>
            <w:tcW w:w="441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328DE" w:rsidRPr="00906B94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1879" w:type="dxa"/>
            <w:shd w:val="clear" w:color="auto" w:fill="DBE5F1" w:themeFill="accent1" w:themeFillTint="33"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</w:tbl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328DE" w:rsidRDefault="007328DE" w:rsidP="0073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дополнить элемент </w:t>
      </w:r>
      <w:r>
        <w:rPr>
          <w:rFonts w:ascii="Times New Roman" w:hAnsi="Times New Roman" w:cs="Times New Roman"/>
          <w:sz w:val="24"/>
          <w:szCs w:val="24"/>
          <w:lang w:val="en-US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0C02">
        <w:rPr>
          <w:rFonts w:ascii="Times New Roman" w:hAnsi="Times New Roman" w:cs="Times New Roman"/>
          <w:sz w:val="24"/>
          <w:szCs w:val="24"/>
        </w:rPr>
        <w:t>Сведения о случае</w:t>
      </w:r>
      <w:r>
        <w:rPr>
          <w:rFonts w:ascii="Times New Roman" w:hAnsi="Times New Roman" w:cs="Times New Roman"/>
          <w:sz w:val="24"/>
          <w:szCs w:val="24"/>
        </w:rPr>
        <w:t xml:space="preserve">» описанием элемента </w:t>
      </w:r>
      <w:r w:rsidRPr="00386A6C">
        <w:rPr>
          <w:rFonts w:ascii="Times New Roman" w:hAnsi="Times New Roman" w:cs="Times New Roman"/>
          <w:sz w:val="24"/>
          <w:szCs w:val="24"/>
        </w:rPr>
        <w:t>TELEMED «Телемедицинская услуга (консультация)»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26"/>
        <w:gridCol w:w="398"/>
        <w:gridCol w:w="717"/>
        <w:gridCol w:w="1919"/>
        <w:gridCol w:w="4657"/>
      </w:tblGrid>
      <w:tr w:rsidR="007328DE" w:rsidRPr="00386A6C" w:rsidTr="00B37F7A">
        <w:trPr>
          <w:trHeight w:val="267"/>
        </w:trPr>
        <w:tc>
          <w:tcPr>
            <w:tcW w:w="9860" w:type="dxa"/>
            <w:gridSpan w:val="6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Телемедицинская услуга (консультация)</w:t>
            </w:r>
          </w:p>
        </w:tc>
      </w:tr>
      <w:tr w:rsidR="007328DE" w:rsidRPr="007E06A2" w:rsidTr="00B37F7A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7328DE" w:rsidRPr="00943F62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7328DE" w:rsidRPr="007E06A2" w:rsidTr="00B37F7A">
        <w:trPr>
          <w:trHeight w:val="267"/>
        </w:trPr>
        <w:tc>
          <w:tcPr>
            <w:tcW w:w="1243" w:type="dxa"/>
            <w:shd w:val="clear" w:color="auto" w:fill="DBE5F1" w:themeFill="accent1" w:themeFillTint="33"/>
            <w:noWrap/>
            <w:vAlign w:val="center"/>
          </w:tcPr>
          <w:p w:rsidR="007328DE" w:rsidRPr="007E06A2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DBE5F1" w:themeFill="accent1" w:themeFillTint="33"/>
            <w:noWrap/>
            <w:vAlign w:val="center"/>
          </w:tcPr>
          <w:p w:rsidR="007328DE" w:rsidRDefault="007328DE" w:rsidP="00B3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398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shd w:val="clear" w:color="auto" w:fill="DBE5F1" w:themeFill="accent1" w:themeFillTint="33"/>
            <w:noWrap/>
            <w:vAlign w:val="center"/>
          </w:tcPr>
          <w:p w:rsidR="007328DE" w:rsidRPr="00386A6C" w:rsidRDefault="007328DE" w:rsidP="00B3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1919" w:type="dxa"/>
            <w:shd w:val="clear" w:color="auto" w:fill="DBE5F1" w:themeFill="accent1" w:themeFillTint="33"/>
            <w:vAlign w:val="center"/>
          </w:tcPr>
          <w:p w:rsidR="007328DE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4742" w:type="dxa"/>
            <w:shd w:val="clear" w:color="auto" w:fill="DBE5F1" w:themeFill="accent1" w:themeFillTint="33"/>
            <w:vAlign w:val="center"/>
          </w:tcPr>
          <w:p w:rsidR="007328DE" w:rsidRPr="002C16CA" w:rsidRDefault="007328DE" w:rsidP="00B3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обращения телемедицинской системе</w:t>
            </w:r>
          </w:p>
        </w:tc>
      </w:tr>
    </w:tbl>
    <w:p w:rsidR="007328DE" w:rsidRDefault="007328DE" w:rsidP="007328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3A795F" w:rsidRDefault="003A795F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48B2" w:rsidRDefault="008C48B2" w:rsidP="00E64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sectPr w:rsidR="008C48B2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335E"/>
    <w:rsid w:val="00004BB6"/>
    <w:rsid w:val="000343B9"/>
    <w:rsid w:val="00046790"/>
    <w:rsid w:val="00060BEA"/>
    <w:rsid w:val="000D1008"/>
    <w:rsid w:val="00133DE1"/>
    <w:rsid w:val="001750B7"/>
    <w:rsid w:val="001A2CE7"/>
    <w:rsid w:val="002120E8"/>
    <w:rsid w:val="00223E28"/>
    <w:rsid w:val="00296D22"/>
    <w:rsid w:val="00297B1A"/>
    <w:rsid w:val="002E0129"/>
    <w:rsid w:val="00375990"/>
    <w:rsid w:val="00386A6C"/>
    <w:rsid w:val="00396C4D"/>
    <w:rsid w:val="003A795F"/>
    <w:rsid w:val="00420C02"/>
    <w:rsid w:val="00513937"/>
    <w:rsid w:val="00514FEC"/>
    <w:rsid w:val="0057139A"/>
    <w:rsid w:val="005B02ED"/>
    <w:rsid w:val="005D566A"/>
    <w:rsid w:val="006F5653"/>
    <w:rsid w:val="007328DE"/>
    <w:rsid w:val="00746EFA"/>
    <w:rsid w:val="00781778"/>
    <w:rsid w:val="00787686"/>
    <w:rsid w:val="007A0779"/>
    <w:rsid w:val="0085590D"/>
    <w:rsid w:val="00883682"/>
    <w:rsid w:val="008C48B2"/>
    <w:rsid w:val="008F023E"/>
    <w:rsid w:val="00906B94"/>
    <w:rsid w:val="00907B21"/>
    <w:rsid w:val="009213BE"/>
    <w:rsid w:val="0095751C"/>
    <w:rsid w:val="009D448E"/>
    <w:rsid w:val="00A742A8"/>
    <w:rsid w:val="00A9640D"/>
    <w:rsid w:val="00B15903"/>
    <w:rsid w:val="00B65577"/>
    <w:rsid w:val="00B91342"/>
    <w:rsid w:val="00B91503"/>
    <w:rsid w:val="00BA77B5"/>
    <w:rsid w:val="00BF4085"/>
    <w:rsid w:val="00CB6443"/>
    <w:rsid w:val="00CE21E3"/>
    <w:rsid w:val="00D17AA0"/>
    <w:rsid w:val="00D61A9F"/>
    <w:rsid w:val="00D62F70"/>
    <w:rsid w:val="00D83459"/>
    <w:rsid w:val="00D84E1B"/>
    <w:rsid w:val="00E64A6A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link w:val="10"/>
    <w:uiPriority w:val="99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Обычный без отступа1 Знак"/>
    <w:link w:val="1"/>
    <w:qFormat/>
    <w:locked/>
    <w:rsid w:val="00E64A6A"/>
    <w:rPr>
      <w:rFonts w:eastAsia="Times New Roman" w:cs="Times New Roman"/>
      <w:kern w:val="24"/>
      <w:sz w:val="24"/>
      <w:szCs w:val="24"/>
    </w:rPr>
  </w:style>
  <w:style w:type="paragraph" w:styleId="a5">
    <w:name w:val="Normal (Web)"/>
    <w:basedOn w:val="a"/>
    <w:uiPriority w:val="99"/>
    <w:rsid w:val="00746E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83682"/>
  </w:style>
  <w:style w:type="character" w:customStyle="1" w:styleId="2">
    <w:name w:val="Основной текст (2)_"/>
    <w:basedOn w:val="a0"/>
    <w:link w:val="20"/>
    <w:rsid w:val="00223E28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E28"/>
    <w:pPr>
      <w:widowControl w:val="0"/>
      <w:shd w:val="clear" w:color="auto" w:fill="FFFFFF"/>
      <w:spacing w:after="0" w:line="326" w:lineRule="exact"/>
      <w:ind w:hanging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223E2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1A17-04EE-4E8C-B647-245CD6D5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22</cp:revision>
  <cp:lastPrinted>2019-11-07T07:45:00Z</cp:lastPrinted>
  <dcterms:created xsi:type="dcterms:W3CDTF">2018-04-15T15:04:00Z</dcterms:created>
  <dcterms:modified xsi:type="dcterms:W3CDTF">2020-02-04T14:24:00Z</dcterms:modified>
</cp:coreProperties>
</file>