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A" w:rsidRPr="009E2A95" w:rsidRDefault="005A395A" w:rsidP="00861EC2">
      <w:pPr>
        <w:spacing w:after="15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1509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97417"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540919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омиссии по разработке территориальной программы обязательного</w:t>
      </w:r>
      <w:r w:rsidR="00E97417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медицинского страхования </w:t>
      </w:r>
      <w:r w:rsidR="00DF5B24">
        <w:rPr>
          <w:rFonts w:ascii="Times New Roman" w:eastAsia="Times New Roman" w:hAnsi="Times New Roman" w:cs="Times New Roman"/>
          <w:sz w:val="20"/>
          <w:szCs w:val="20"/>
          <w:lang w:eastAsia="ru-RU"/>
        </w:rPr>
        <w:t>№ 13 от 26.11.2021</w:t>
      </w:r>
    </w:p>
    <w:p w:rsidR="005A395A" w:rsidRPr="009E2A95" w:rsidRDefault="005A395A" w:rsidP="009E2A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оценки эффективности деятельности медицинских организаций в целях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определения возможности реализации заявленных медицинской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организацией объемов медицинской помощи </w:t>
      </w:r>
    </w:p>
    <w:p w:rsidR="005A395A" w:rsidRPr="009E2A95" w:rsidRDefault="00327FB7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(далее – Порядок) разработан в соответствии с Федеральным законом от 27.07.2006 № 152-ФЗ «О персональных данных», Федеральным законом от 29.11.2010 № 326-ФЗ «Об обязательном медицинском страховании в Российской Федерации», Федеральным законом от 21.11.2011 № 323-ФЗ «Об основах охраны здоровья граждан в Российской Федерации», Правилами обязательного медицинского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страхования, утвержденными приказом Минздрава России от 28.02.2019 № 108н (далее – Правила ОМС), тарифным соглашением в сфере обязательного медицинского страхования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 и иными нормативными правовы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Российской Федерации.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устанавливает показатели, правила и методику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в рамках территориальной программы обязательного медицинского страхования (далее – оценка эффективности деятельности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ОМС) на очередной или текущий год.</w:t>
      </w:r>
    </w:p>
    <w:p w:rsidR="005A395A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обеспечения гарантий бесплатного оказания застрахованным лицам доступной и качественной медицинской помощи при наступлении страхового случая в рамках территориальной программы ОМС для распределения объемов предоставления медицинской помощи в соответствии с Положением о деятельности комиссии по разработке территориальной программы ОМС, являющимся приложением к Правилам ОМС (далее соответственно – П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комиссии, комиссия).</w:t>
      </w:r>
      <w:proofErr w:type="gramEnd"/>
    </w:p>
    <w:p w:rsidR="00055FBD" w:rsidRDefault="00055FBD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ПРОВЕДЕНИЕ ОЦЕНКИ ЭФФЕКТИВНОСТИ ДЕЯТЕЛЬНОСТИ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055F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медицинским организациям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15 Федерального закона от 29.11.2010 № 326-ФЗ «Об обязательном медицинском страховании в Российской Федерации» организации любой предусмотренной законодательством Российской Федерации организационно-правовой формы и индивидуальные предприниматели, осуществляющие медицинскую деятельность (да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медицинские организации).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Процедуре оценки эффективности деятельности подвергаются все медицинские организации,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очередной или текущий год. В течение текущего года проводится оценка эффективности деятельности вновь созданных медицинских организаций, а также включенных в перечень медицинских организаций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реализации территориальной программы ОМС, по решению </w:t>
      </w:r>
      <w:r w:rsidR="00540919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Оценку эффективности деятельности осуществляет созданная комиссией в соответствии с пунктом 12 Полож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комиссии рабочая группа.</w:t>
      </w:r>
    </w:p>
    <w:p w:rsidR="005A395A" w:rsidRPr="00C01AC8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выявления недостоверности сведений, заявленных в уведомлении об осуществлении деятельности в сфере ОМС, и</w:t>
      </w:r>
      <w:r w:rsidR="00540919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иных сведений, представленных медицинской организацией, не предоставления сведений согласно настоящему Порядку, такая медицинская организация в оценке эффективности деятельности не участвует.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предоставления медицинской помощи в рамках территориальной программы ОМС такой медицинской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 распределяются.</w:t>
      </w:r>
      <w:r w:rsidR="00C0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01AC8" w:rsidRPr="00C01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C01AC8" w:rsidRPr="00C01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Отменен</w:t>
      </w:r>
      <w:proofErr w:type="gramEnd"/>
      <w:r w:rsidR="00C01AC8" w:rsidRPr="00C01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1AC8" w:rsidRPr="00C01AC8">
        <w:rPr>
          <w:rFonts w:ascii="Times New Roman" w:hAnsi="Times New Roman"/>
          <w:i/>
          <w:sz w:val="24"/>
          <w:szCs w:val="24"/>
        </w:rPr>
        <w:t>с</w:t>
      </w:r>
      <w:r w:rsidR="00C01AC8" w:rsidRPr="00C01AC8">
        <w:rPr>
          <w:rFonts w:ascii="Times New Roman" w:hAnsi="Times New Roman"/>
          <w:i/>
          <w:sz w:val="24"/>
          <w:szCs w:val="24"/>
        </w:rPr>
        <w:t xml:space="preserve"> 03.05.2023 на основании решения суда Ненецкого автономного округа от 23.03.2023</w:t>
      </w:r>
      <w:r w:rsidR="00C01AC8" w:rsidRPr="00C01AC8">
        <w:rPr>
          <w:rFonts w:ascii="Times New Roman" w:hAnsi="Times New Roman"/>
          <w:i/>
          <w:sz w:val="24"/>
          <w:szCs w:val="24"/>
        </w:rPr>
        <w:t>).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Процедура проведения оценки эффективности деятельности в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 следующие этапы: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медицинскими организациями в комиссию оценочных листов по форме согласно приложению 1 к настоящему Порядку в срок</w:t>
      </w:r>
      <w:r w:rsidR="00FB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137" w:rsidRP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представленных рабочей группе документов, оценку достоверности сведений, заявленных медицинскими организациями в уведомлении об осуществлении деятельности в </w:t>
      </w:r>
      <w:r w:rsidR="00CD0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ОМС, и в оценочном листе;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оформление и передачу комиссии результатов оценки эффективности деятельности, в том числе списка медицинских организаций для распределения объемов предоставления медицинской помощи в рамках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Список медицинских организаций для распределения объемов предоставления медицинской помощи в рамках территориальной программы ОМС включает значения суммарного количества баллов по результатам оценки эффективности деятельности,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комиссией при распределении объемов медицинской помощи по ОМС между медицинскими организациями по каждому виду, профилю, уровню и услови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оказания медицинской помощи.</w:t>
      </w:r>
    </w:p>
    <w:p w:rsidR="005A395A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Список медицинских организаций для распределения объемов предоставления медицинской помощи в рамках территориальной программы ОМС утверждается на заседании рабочей группы с приложением к протоколу заседания рабочей группы оценочных листов </w:t>
      </w:r>
      <w:r w:rsidR="00055FBD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медицинской организации.</w:t>
      </w:r>
    </w:p>
    <w:p w:rsidR="00055FBD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МЕТОДИКА ОЦЕНКИ ЭФФЕКТИВНОСТИ ДЕЯТЕЛЬНОСТ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Оценка эффективности деятельности осуществляется рабочей группой в срок, </w:t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критериям и согласно значению критерия в соответствии с прил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2 к настоящему Порядку.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Критерии оценки эффективности деятельности характеризируют соответствие медицинской организации требованиям законодательства Российской Федерации и регламентирующих документов, в том числе качество и безопасность медицинской дея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включают следующие: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критерии, по которым проводится оценка эффективности деятельности каждой медицинской организации, а также дополнительные критерии по видам, профилям, уровню и условиям оказания медицинской помощи в зависимости от заявленных медицинской организацией объемов предоставления медицинской помощи в рамках территориальной программы ОМ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содержание которых исключает или не исключает в случае неисполнения требований или несоблюдения регламентирующих документов возможность участия медицинской организации в реализации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Исключающая категория критериев отражает содержание обязательных требований законодательства Российской Федерации к медицинской организации с целью эффективного участия в реализации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категория показателей 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при помощи ответов: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– характеризует нал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ичие, соответствие, исполнение;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«нет» – характеризует отсутствие, несоответствие, неисполнение, неправильное или ненадлежащее 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сполнение, неполное исполнение.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«нет» либо установленное в ходе оценки несоответствие медицинской организации обязательным требованиям исключает возможность участия медицинской организации в реализации территориальной программы ОМС в связи с нарушением законод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Российской Федерации.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 числу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исключающих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территориальной программы ОМС относятся показат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характеризующие следующее:</w:t>
      </w:r>
    </w:p>
    <w:p w:rsidR="000F1598" w:rsidRPr="000B0A0D" w:rsidRDefault="000B0A0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DE3">
        <w:rPr>
          <w:rFonts w:ascii="Times New Roman" w:hAnsi="Times New Roman" w:cs="Times New Roman"/>
          <w:sz w:val="24"/>
          <w:szCs w:val="24"/>
        </w:rPr>
        <w:t>отсутствие</w:t>
      </w:r>
      <w:r w:rsidR="000F1598" w:rsidRPr="000B0A0D">
        <w:rPr>
          <w:rFonts w:ascii="Times New Roman" w:hAnsi="Times New Roman" w:cs="Times New Roman"/>
          <w:sz w:val="24"/>
          <w:szCs w:val="24"/>
        </w:rPr>
        <w:t xml:space="preserve"> у медицинской организации лицензии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исключающая категория критериев отражает организацию оказания медицинской помощи по заявленным медицинской организацией видам, профилям, уровню и условиям оказания медицинской помощи и оценивается в целях обеспечения возможности эффективной реализации заявленных объемов медицинской помощи, а также их рационального распределения между медицинскими организациями для доступности и качества медицинской помощи, соблюдения порядков оказания медицинской помощи и маршрутизации, надлежащей реализации прав и законны</w:t>
      </w:r>
      <w:r w:rsidR="00227913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интересов</w:t>
      </w:r>
      <w:proofErr w:type="gramEnd"/>
      <w:r w:rsidR="0022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категория показателей оценивается при помощи ответов «да» и «нет» или определенных настоящим Порядком значений. По результатам оценки эффективности деятельности по показателям не исключающей категории медицинской 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присваиваются баллы.</w:t>
      </w:r>
    </w:p>
    <w:p w:rsidR="00C01AC8" w:rsidRPr="00C01AC8" w:rsidRDefault="005A395A" w:rsidP="00C01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Согласно суммарному количеству баллов по всем применимым к медицинской организации показателям в соответствии с приложением 3 к настоящему Порядку принимается решение о возможности или невозможности участия медицинской организации в реализации территор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программы ОМС.</w:t>
      </w:r>
      <w:r w:rsidR="00C0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AC8" w:rsidRPr="00C01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C01AC8" w:rsidRPr="00C01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Отменен</w:t>
      </w:r>
      <w:proofErr w:type="gramEnd"/>
      <w:r w:rsidR="00C01AC8" w:rsidRPr="00C01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1AC8" w:rsidRPr="00C01AC8">
        <w:rPr>
          <w:rFonts w:ascii="Times New Roman" w:hAnsi="Times New Roman"/>
          <w:i/>
          <w:sz w:val="24"/>
          <w:szCs w:val="24"/>
        </w:rPr>
        <w:t>с 03.05.2023 на основании решения суда Ненецкого автономного округа от 23.03.2023).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 набравшая необходимого количества баллов медицинская организация включается в список медицинских организаций </w:t>
      </w:r>
      <w:r w:rsidR="00927C3D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распределения объемов предоставления медицинской помощи в рамках территориальной про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ОМС в следующих случаях: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единственная заявившая об оказании медицинской помощи на территории муниципального образования медицинская организация не набрала минимально необходимого количества баллов и отсутствует иная медицинская организация, имеющая возможность оказания необходимой медицинской помощи с соблюдением ее транспортной доступности, маршрутизации и предельных сроков оказания медицинской помощи согласно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программе ОМС;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медицинская организация выбрана застрахованными лицами для оказания первичной медико-санитарной помощи согласно приказам </w:t>
      </w:r>
      <w:proofErr w:type="spell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Минзравсоцразвития</w:t>
      </w:r>
      <w:proofErr w:type="spell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</w:t>
      </w:r>
      <w:proofErr w:type="spell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Минзрава</w:t>
      </w:r>
      <w:proofErr w:type="spell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21.12.2012 № 1342н «Об утверждении Порядка выбора гражданином медицинской организации (за исключением случаев оказания скорой медицинской помощи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оказания медицинской помощи».</w:t>
      </w:r>
    </w:p>
    <w:p w:rsidR="005A395A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A4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результатах оценки эффективности деятельности </w:t>
      </w:r>
      <w:r w:rsidR="00CF676B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здравоохранения труда и социальной защиты населения НАО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 для принятия мер.</w:t>
      </w:r>
    </w:p>
    <w:p w:rsidR="00861EC2" w:rsidRDefault="00E3631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направлением оценочного листа медицинской организацией </w:t>
      </w:r>
      <w:r w:rsidR="00FC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позволяющие провести анализ и оценку каждого критерия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A23" w:rsidRDefault="007A5A23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5E" w:rsidRDefault="00C01AC8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(Оценочный лист</w:t>
        </w:r>
        <w:r w:rsidR="001E222B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критерии оценки</w:t>
        </w:r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5A395A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1E222B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(Показатели эффективности)</w:t>
        </w:r>
      </w:hyperlink>
    </w:p>
    <w:p w:rsidR="0038632E" w:rsidRDefault="0038632E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8632E" w:rsidSect="005A5B22">
          <w:footerReference w:type="default" r:id="rId11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</w:p>
    <w:p w:rsidR="00B707B4" w:rsidRPr="009E2A95" w:rsidRDefault="00B707B4" w:rsidP="000A5E39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A95">
        <w:rPr>
          <w:rFonts w:ascii="Times New Roman" w:hAnsi="Times New Roman" w:cs="Times New Roman"/>
          <w:sz w:val="20"/>
          <w:szCs w:val="20"/>
        </w:rPr>
        <w:lastRenderedPageBreak/>
        <w:t>Приложение 1 к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</w:t>
      </w:r>
    </w:p>
    <w:p w:rsidR="00952785" w:rsidRDefault="00952785" w:rsidP="00B707B4">
      <w:pPr>
        <w:widowControl w:val="0"/>
        <w:ind w:left="10632" w:firstLine="141"/>
        <w:rPr>
          <w:rFonts w:ascii="Times New Roman" w:hAnsi="Times New Roman" w:cs="Times New Roman"/>
          <w:sz w:val="24"/>
          <w:szCs w:val="24"/>
        </w:rPr>
      </w:pPr>
    </w:p>
    <w:p w:rsidR="0095278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87" w:type="dxa"/>
        <w:tblInd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52785" w:rsidRPr="009E2A95" w:rsidTr="000F1598">
        <w:trPr>
          <w:trHeight w:val="1433"/>
        </w:trPr>
        <w:tc>
          <w:tcPr>
            <w:tcW w:w="5387" w:type="dxa"/>
          </w:tcPr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Председателю комиссии по разработке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территориальной программы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обязательного медицинского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 xml:space="preserve">страхования в </w:t>
            </w:r>
            <w:r w:rsidRPr="009E2A95">
              <w:rPr>
                <w:rFonts w:eastAsia="Times New Roman" w:cs="Times New Roman"/>
                <w:sz w:val="24"/>
                <w:szCs w:val="24"/>
                <w:lang w:eastAsia="ru-RU"/>
              </w:rPr>
              <w:t>Ненецком автономном округе</w:t>
            </w:r>
          </w:p>
          <w:p w:rsidR="00952785" w:rsidRPr="009E2A95" w:rsidRDefault="00952785" w:rsidP="000F1598">
            <w:pPr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Ф.И.О</w:t>
            </w:r>
          </w:p>
        </w:tc>
      </w:tr>
    </w:tbl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____»_________ </w:t>
      </w:r>
      <w:proofErr w:type="gramStart"/>
      <w:r w:rsidRPr="009E2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A95">
        <w:rPr>
          <w:rFonts w:ascii="Times New Roman" w:hAnsi="Times New Roman" w:cs="Times New Roman"/>
          <w:sz w:val="24"/>
          <w:szCs w:val="24"/>
        </w:rPr>
        <w:t>. №_____</w:t>
      </w:r>
    </w:p>
    <w:p w:rsidR="00952785" w:rsidRPr="009E2A95" w:rsidRDefault="00952785" w:rsidP="0095278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52785" w:rsidRPr="009E2A95" w:rsidRDefault="00952785" w:rsidP="00952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E2A95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952785" w:rsidRDefault="00952785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952785" w:rsidSect="0001145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408"/>
        <w:tblW w:w="16076" w:type="dxa"/>
        <w:tblLayout w:type="fixed"/>
        <w:tblLook w:val="04A0" w:firstRow="1" w:lastRow="0" w:firstColumn="1" w:lastColumn="0" w:noHBand="0" w:noVBand="1"/>
      </w:tblPr>
      <w:tblGrid>
        <w:gridCol w:w="879"/>
        <w:gridCol w:w="3482"/>
        <w:gridCol w:w="3401"/>
        <w:gridCol w:w="3439"/>
        <w:gridCol w:w="1589"/>
        <w:gridCol w:w="1583"/>
        <w:gridCol w:w="1703"/>
      </w:tblGrid>
      <w:tr w:rsidR="00AB61C5" w:rsidRPr="00AB61C5" w:rsidTr="00781A23">
        <w:trPr>
          <w:trHeight w:val="642"/>
        </w:trPr>
        <w:tc>
          <w:tcPr>
            <w:tcW w:w="879" w:type="dxa"/>
            <w:vMerge w:val="restart"/>
            <w:shd w:val="clear" w:color="auto" w:fill="auto"/>
          </w:tcPr>
          <w:p w:rsidR="00AB61C5" w:rsidRPr="00AB61C5" w:rsidRDefault="00AB61C5" w:rsidP="000B0A0D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lastRenderedPageBreak/>
              <w:t>Код критерия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Содержание показателя</w:t>
            </w:r>
          </w:p>
        </w:tc>
        <w:tc>
          <w:tcPr>
            <w:tcW w:w="3439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Обоснование применения критерия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Показатель</w:t>
            </w:r>
            <w:r w:rsidRPr="00AB61C5">
              <w:rPr>
                <w:rStyle w:val="a8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Оценка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AB61C5" w:rsidRPr="00AB61C5" w:rsidTr="00781A23">
        <w:trPr>
          <w:trHeight w:val="186"/>
        </w:trPr>
        <w:tc>
          <w:tcPr>
            <w:tcW w:w="879" w:type="dxa"/>
            <w:vMerge/>
            <w:shd w:val="clear" w:color="auto" w:fill="auto"/>
          </w:tcPr>
          <w:p w:rsidR="00AB61C5" w:rsidRPr="00AB61C5" w:rsidRDefault="00AB61C5" w:rsidP="000B0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39" w:type="dxa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B61C5" w:rsidRPr="00AB61C5" w:rsidTr="00A11572">
        <w:trPr>
          <w:trHeight w:val="1924"/>
        </w:trPr>
        <w:tc>
          <w:tcPr>
            <w:tcW w:w="879" w:type="dxa"/>
            <w:shd w:val="clear" w:color="auto" w:fill="auto"/>
          </w:tcPr>
          <w:p w:rsidR="00AB61C5" w:rsidRPr="00AB61C5" w:rsidRDefault="00AB61C5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AB61C5" w:rsidRPr="000B0A0D" w:rsidRDefault="00AB61C5" w:rsidP="00097C06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0B0A0D">
              <w:rPr>
                <w:rFonts w:cs="Times New Roman"/>
                <w:sz w:val="20"/>
                <w:szCs w:val="20"/>
              </w:rPr>
              <w:t>Наличие у медицинской организации лицен</w:t>
            </w:r>
            <w:r w:rsidR="000B0A0D" w:rsidRPr="000B0A0D">
              <w:rPr>
                <w:rFonts w:cs="Times New Roman"/>
                <w:sz w:val="20"/>
                <w:szCs w:val="20"/>
              </w:rPr>
              <w:t xml:space="preserve">зии на медицинскую деятельность </w:t>
            </w:r>
          </w:p>
        </w:tc>
        <w:tc>
          <w:tcPr>
            <w:tcW w:w="3401" w:type="dxa"/>
          </w:tcPr>
          <w:p w:rsidR="00AB61C5" w:rsidRPr="00AB61C5" w:rsidRDefault="00AB61C5" w:rsidP="00097C06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Предоставление планируемых к оказанию объемов медицинской помощи в уведомлении должно соответствовать имеющимся лицензиям медицинской организации или ее структурных подразделений</w:t>
            </w:r>
          </w:p>
        </w:tc>
        <w:tc>
          <w:tcPr>
            <w:tcW w:w="3439" w:type="dxa"/>
          </w:tcPr>
          <w:p w:rsidR="00AB61C5" w:rsidRPr="00AB61C5" w:rsidRDefault="00C37254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="00AB61C5" w:rsidRPr="00AB61C5">
              <w:rPr>
                <w:rFonts w:cs="Times New Roman"/>
                <w:sz w:val="20"/>
                <w:szCs w:val="20"/>
              </w:rPr>
              <w:t>Ст. 36 Федерального закона от 29.11.2010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AB61C5">
              <w:rPr>
                <w:rFonts w:cs="Times New Roman"/>
                <w:sz w:val="20"/>
                <w:szCs w:val="20"/>
              </w:rPr>
              <w:t>326-ФЗ «Об обязательном медицинском стра</w:t>
            </w:r>
            <w:r w:rsidR="00DE64C3">
              <w:rPr>
                <w:rFonts w:cs="Times New Roman"/>
                <w:sz w:val="20"/>
                <w:szCs w:val="20"/>
              </w:rPr>
              <w:t>ховании в Российской Федерации»;</w:t>
            </w:r>
          </w:p>
          <w:p w:rsidR="00AB61C5" w:rsidRPr="00AB61C5" w:rsidRDefault="00C37254" w:rsidP="00A1157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="00AB61C5" w:rsidRPr="00AB61C5">
              <w:rPr>
                <w:rFonts w:cs="Times New Roman"/>
                <w:sz w:val="20"/>
                <w:szCs w:val="20"/>
              </w:rPr>
              <w:t>Федеральный закон от 04.05.2011 № 99-ФЗ «О лицензировании</w:t>
            </w:r>
            <w:r w:rsidR="00A11572">
              <w:rPr>
                <w:rFonts w:cs="Times New Roman"/>
                <w:sz w:val="20"/>
                <w:szCs w:val="20"/>
              </w:rPr>
              <w:t xml:space="preserve"> отдельных видов деятельности».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01145E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b/>
                <w:sz w:val="20"/>
                <w:szCs w:val="20"/>
              </w:rPr>
            </w:pPr>
            <w:r w:rsidRPr="0001145E">
              <w:rPr>
                <w:rFonts w:cs="Times New Roman"/>
                <w:b/>
                <w:sz w:val="20"/>
                <w:szCs w:val="20"/>
              </w:rPr>
              <w:t>оценка «нет» исключает возможность деятельности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0B0A0D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Организация обеспечения пациентов листками нетрудоспособности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Проведение экспертизы временной нетрудоспособности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Ст. 8, 59 Федерального закона от 21.11.2011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Pr="00C37254">
              <w:rPr>
                <w:rFonts w:cs="Times New Roman"/>
                <w:sz w:val="20"/>
                <w:szCs w:val="20"/>
              </w:rPr>
              <w:t>323-ФЗ «Об основах охраны здоровья граждан в Российской Федерации»;</w:t>
            </w:r>
          </w:p>
          <w:p w:rsidR="00AB61C5" w:rsidRPr="00C37254" w:rsidRDefault="00351694" w:rsidP="00C37254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риказ Минздрава России от 23.08.2016 № 625н</w:t>
            </w:r>
            <w:r w:rsidR="00233BD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0B0A0D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информирования граждан о правах и обязанностях в сфере ОМС и охраны здоровья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Информирование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Наличие на информационных стендах/официальном сайте медицинской организации в информационно-телекоммуникационной сети «Интернет», участвующей в реализации программы государственных гарантий </w:t>
            </w:r>
            <w:r w:rsidRPr="00AB61C5">
              <w:rPr>
                <w:rFonts w:cs="Times New Roman"/>
                <w:sz w:val="20"/>
                <w:szCs w:val="20"/>
              </w:rPr>
              <w:lastRenderedPageBreak/>
              <w:t>бесплатного оказания гражданам медицинской помощи, информации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</w:t>
            </w:r>
          </w:p>
        </w:tc>
        <w:tc>
          <w:tcPr>
            <w:tcW w:w="3439" w:type="dxa"/>
          </w:tcPr>
          <w:p w:rsidR="00AB61C5" w:rsidRPr="00C37254" w:rsidRDefault="00351694" w:rsidP="00C37254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="00A11572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="00A11572">
              <w:rPr>
                <w:rFonts w:cs="Times New Roman"/>
                <w:sz w:val="20"/>
                <w:szCs w:val="20"/>
              </w:rPr>
              <w:t xml:space="preserve">. 3) </w:t>
            </w:r>
            <w:r w:rsidR="005352DE"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. 1 ст. 79 Федерального закона от 21.11.2011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323-ФЗ «Об основах охраны здоровья </w:t>
            </w:r>
            <w:r w:rsidR="00DE64C3">
              <w:rPr>
                <w:rFonts w:cs="Times New Roman"/>
                <w:sz w:val="20"/>
                <w:szCs w:val="20"/>
              </w:rPr>
              <w:t>граждан в Российской Федерации»;</w:t>
            </w:r>
          </w:p>
          <w:p w:rsidR="00AB61C5" w:rsidRPr="00C37254" w:rsidRDefault="00E40C29" w:rsidP="00A11572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0" w:right="-1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риказ</w:t>
            </w:r>
            <w:r w:rsidR="00A11572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 </w:t>
            </w:r>
            <w:r w:rsidR="00A11572" w:rsidRPr="00A11572">
              <w:rPr>
                <w:rFonts w:cs="Times New Roman"/>
                <w:sz w:val="20"/>
                <w:szCs w:val="20"/>
              </w:rPr>
              <w:t>Минздрава России от 19.03.2021</w:t>
            </w:r>
            <w:r w:rsidR="00A11572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№ </w:t>
            </w:r>
            <w:r w:rsidR="00A11572">
              <w:rPr>
                <w:rFonts w:cs="Times New Roman"/>
                <w:sz w:val="20"/>
                <w:szCs w:val="20"/>
              </w:rPr>
              <w:t xml:space="preserve">231н </w:t>
            </w:r>
            <w:r w:rsidR="00AB61C5" w:rsidRPr="00C37254">
              <w:rPr>
                <w:rFonts w:cs="Times New Roman"/>
                <w:sz w:val="20"/>
                <w:szCs w:val="20"/>
              </w:rPr>
              <w:t>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      </w:r>
            <w:r w:rsidR="00A11572">
              <w:rPr>
                <w:rFonts w:cs="Times New Roman"/>
                <w:sz w:val="20"/>
                <w:szCs w:val="20"/>
              </w:rPr>
              <w:t xml:space="preserve"> застрахованным лицам, а также ее финансового обеспечения</w:t>
            </w:r>
            <w:r w:rsidR="00AB61C5" w:rsidRPr="00C37254">
              <w:rPr>
                <w:rFonts w:cs="Times New Roman"/>
                <w:sz w:val="20"/>
                <w:szCs w:val="20"/>
              </w:rPr>
              <w:t>»</w:t>
            </w:r>
            <w:r w:rsidR="00A11572">
              <w:rPr>
                <w:rFonts w:cs="Times New Roman"/>
                <w:sz w:val="20"/>
                <w:szCs w:val="20"/>
              </w:rPr>
              <w:t>.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(врачи)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врачебных должностей занятыми ставками более 70 % от утвержденного количества штатных единиц врачебного персонала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4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менее 70 %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70 % и более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85 % и более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+ 15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(средний медицинский персонал)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должностей средних медицинских работников занятыми ставками более 70 % от утвержденного количества штатных единиц среднего медицинского персонала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менее 70 %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70 % и более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85 % и более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+ 15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AB61C5">
              <w:rPr>
                <w:rFonts w:cs="Times New Roman"/>
                <w:sz w:val="20"/>
                <w:szCs w:val="20"/>
              </w:rPr>
              <w:t>Обеспечение возможности оказания первичной медико-санитарной помощи в плановой и неотложной формах, в том числе, оказание неотложной помощи в выходные и праздничные дни</w:t>
            </w:r>
            <w:proofErr w:type="gramEnd"/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 (наличие лицензии на осуществление медицинской деятельности по оказанию неотложной медицинской помощи)</w:t>
            </w:r>
          </w:p>
        </w:tc>
        <w:tc>
          <w:tcPr>
            <w:tcW w:w="3439" w:type="dxa"/>
          </w:tcPr>
          <w:p w:rsidR="00AB61C5" w:rsidRPr="00AB61C5" w:rsidRDefault="00C37254" w:rsidP="00C37254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="00AB61C5" w:rsidRPr="00AB61C5">
              <w:rPr>
                <w:rFonts w:cs="Times New Roman"/>
                <w:sz w:val="20"/>
                <w:szCs w:val="20"/>
              </w:rPr>
              <w:t xml:space="preserve">П. 6 приказа </w:t>
            </w:r>
            <w:proofErr w:type="spellStart"/>
            <w:r w:rsidR="00AB61C5"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="00AB61C5" w:rsidRPr="00AB61C5">
              <w:rPr>
                <w:rFonts w:cs="Times New Roman"/>
                <w:sz w:val="20"/>
                <w:szCs w:val="20"/>
              </w:rPr>
              <w:t xml:space="preserve"> Российской Федерации от 15.05.2012 № 543н;</w:t>
            </w:r>
          </w:p>
          <w:p w:rsidR="00AB61C5" w:rsidRPr="00AB61C5" w:rsidRDefault="00C37254" w:rsidP="00C37254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="00E40C29">
              <w:rPr>
                <w:rFonts w:cs="Times New Roman"/>
                <w:sz w:val="20"/>
                <w:szCs w:val="20"/>
              </w:rPr>
              <w:t>П</w:t>
            </w:r>
            <w:r w:rsidR="00AB61C5" w:rsidRPr="00AB61C5">
              <w:rPr>
                <w:rFonts w:cs="Times New Roman"/>
                <w:sz w:val="20"/>
                <w:szCs w:val="20"/>
              </w:rPr>
              <w:t xml:space="preserve">. 12 приложения 1 к Положению об организации первичной медико-санитарной помощи взрослому населению, утвержденному приказом </w:t>
            </w:r>
            <w:proofErr w:type="spellStart"/>
            <w:r w:rsidR="00AB61C5"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="00AB61C5" w:rsidRPr="00AB61C5">
              <w:rPr>
                <w:rFonts w:cs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AB61C5">
              <w:rPr>
                <w:rFonts w:cs="Times New Roman"/>
                <w:sz w:val="20"/>
                <w:szCs w:val="20"/>
              </w:rPr>
              <w:t>от 15.05.2012 № 543н</w:t>
            </w:r>
            <w:r w:rsidR="00C07D4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возможности прохождения профилактических мероприятий</w:t>
            </w:r>
            <w:r w:rsidR="000F3692">
              <w:rPr>
                <w:rFonts w:cs="Times New Roman"/>
                <w:sz w:val="20"/>
                <w:szCs w:val="20"/>
              </w:rPr>
              <w:t xml:space="preserve"> взрослого населения</w:t>
            </w:r>
          </w:p>
        </w:tc>
        <w:tc>
          <w:tcPr>
            <w:tcW w:w="3401" w:type="dxa"/>
          </w:tcPr>
          <w:p w:rsidR="00AB61C5" w:rsidRPr="000F3692" w:rsidRDefault="00AB61C5" w:rsidP="000F369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t xml:space="preserve">Организация прохождения </w:t>
            </w:r>
            <w:r w:rsidR="000F3692">
              <w:rPr>
                <w:rFonts w:cs="Times New Roman"/>
                <w:sz w:val="20"/>
                <w:szCs w:val="20"/>
              </w:rPr>
              <w:t>взрослым населением</w:t>
            </w:r>
            <w:r w:rsidR="000F3692" w:rsidRPr="000F3692">
              <w:rPr>
                <w:rFonts w:cs="Times New Roman"/>
                <w:sz w:val="20"/>
                <w:szCs w:val="20"/>
              </w:rPr>
              <w:t xml:space="preserve"> </w:t>
            </w:r>
            <w:r w:rsidRPr="000F3692">
              <w:rPr>
                <w:rFonts w:cs="Times New Roman"/>
                <w:sz w:val="20"/>
                <w:szCs w:val="20"/>
              </w:rPr>
              <w:t xml:space="preserve">профилактических медицинских осмотров, диспансеризации, в том числе в вечерние часы и субботу, а также предоставление возможности дистанционной записи на приемы, проводимые в рамках </w:t>
            </w:r>
            <w:r w:rsidRPr="000F3692">
              <w:rPr>
                <w:rFonts w:cs="Times New Roman"/>
                <w:sz w:val="20"/>
                <w:szCs w:val="20"/>
              </w:rPr>
              <w:lastRenderedPageBreak/>
              <w:t>профилактических мероприятий</w:t>
            </w:r>
          </w:p>
        </w:tc>
        <w:tc>
          <w:tcPr>
            <w:tcW w:w="3439" w:type="dxa"/>
          </w:tcPr>
          <w:p w:rsidR="00C07D43" w:rsidRPr="000F3692" w:rsidRDefault="00AB61C5" w:rsidP="00002785">
            <w:pPr>
              <w:pStyle w:val="a9"/>
              <w:numPr>
                <w:ilvl w:val="0"/>
                <w:numId w:val="6"/>
              </w:numPr>
              <w:tabs>
                <w:tab w:val="left" w:pos="4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lastRenderedPageBreak/>
              <w:t xml:space="preserve">П. 7 </w:t>
            </w:r>
            <w:r w:rsidR="000F3692" w:rsidRPr="000F3692">
              <w:rPr>
                <w:rFonts w:cs="Times New Roman"/>
                <w:sz w:val="20"/>
                <w:szCs w:val="20"/>
              </w:rPr>
              <w:t>Порядка проведения профилактического медицинского осмотра и диспансеризации определенных гру</w:t>
            </w:r>
            <w:proofErr w:type="gramStart"/>
            <w:r w:rsidR="000F3692" w:rsidRPr="000F3692">
              <w:rPr>
                <w:rFonts w:cs="Times New Roman"/>
                <w:sz w:val="20"/>
                <w:szCs w:val="20"/>
              </w:rPr>
              <w:t>пп взр</w:t>
            </w:r>
            <w:proofErr w:type="gramEnd"/>
            <w:r w:rsidR="000F3692" w:rsidRPr="000F3692">
              <w:rPr>
                <w:rFonts w:cs="Times New Roman"/>
                <w:sz w:val="20"/>
                <w:szCs w:val="20"/>
              </w:rPr>
              <w:t xml:space="preserve">ослого населения </w:t>
            </w:r>
            <w:r w:rsidR="00C07D43" w:rsidRPr="000F3692">
              <w:rPr>
                <w:rFonts w:cs="Times New Roman"/>
                <w:sz w:val="20"/>
                <w:szCs w:val="20"/>
              </w:rPr>
              <w:t>утвержденного Приказ</w:t>
            </w:r>
            <w:r w:rsidR="00002785">
              <w:rPr>
                <w:rFonts w:cs="Times New Roman"/>
                <w:sz w:val="20"/>
                <w:szCs w:val="20"/>
              </w:rPr>
              <w:t>ом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Минздрава России от 27.04.2021</w:t>
            </w:r>
            <w:r w:rsidR="00002785">
              <w:rPr>
                <w:rFonts w:cs="Times New Roman"/>
                <w:sz w:val="20"/>
                <w:szCs w:val="20"/>
              </w:rPr>
              <w:t xml:space="preserve">           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</w:t>
            </w:r>
            <w:r w:rsidR="00002785">
              <w:rPr>
                <w:rFonts w:cs="Times New Roman"/>
                <w:sz w:val="20"/>
                <w:szCs w:val="20"/>
              </w:rPr>
              <w:t>№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404н </w:t>
            </w:r>
            <w:r w:rsidR="000F3692" w:rsidRPr="000F3692">
              <w:rPr>
                <w:rFonts w:cs="Times New Roman"/>
                <w:sz w:val="20"/>
                <w:szCs w:val="20"/>
              </w:rPr>
              <w:t>«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Об утверждении Порядка проведения профилактического </w:t>
            </w:r>
            <w:r w:rsidR="00C07D43" w:rsidRPr="000F3692">
              <w:rPr>
                <w:rFonts w:cs="Times New Roman"/>
                <w:sz w:val="20"/>
                <w:szCs w:val="20"/>
              </w:rPr>
              <w:lastRenderedPageBreak/>
              <w:t>медицинского осмотра и диспансеризации определе</w:t>
            </w:r>
            <w:r w:rsidR="000F3692" w:rsidRPr="000F3692">
              <w:rPr>
                <w:rFonts w:cs="Times New Roman"/>
                <w:sz w:val="20"/>
                <w:szCs w:val="20"/>
              </w:rPr>
              <w:t>нных групп взрослого населения»</w:t>
            </w:r>
            <w:r w:rsidR="00046602" w:rsidRPr="000F369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0B0A0D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Обеспечение возможности записи на прием к врачу 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Обязанность медицинской организации, участвующей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помощи, обеспечить возможность записи на прием к врачу в электронной форме посредством единого портала государственных и муниципальных услуг единой государственной информационной системы в сфере здравоохранения</w:t>
            </w:r>
          </w:p>
        </w:tc>
        <w:tc>
          <w:tcPr>
            <w:tcW w:w="3439" w:type="dxa"/>
          </w:tcPr>
          <w:p w:rsidR="00042219" w:rsidRDefault="00AB61C5" w:rsidP="00042219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Ст. 91.1 Феде</w:t>
            </w:r>
            <w:r w:rsidR="00A04228">
              <w:rPr>
                <w:rFonts w:cs="Times New Roman"/>
                <w:sz w:val="20"/>
                <w:szCs w:val="20"/>
              </w:rPr>
              <w:t xml:space="preserve">рального закона от 21.11.2011 № </w:t>
            </w:r>
            <w:r w:rsidRPr="00042219">
              <w:rPr>
                <w:rFonts w:cs="Times New Roman"/>
                <w:sz w:val="20"/>
                <w:szCs w:val="20"/>
              </w:rPr>
              <w:t>323-ФЗ «Об основах охраны здоровья г</w:t>
            </w:r>
            <w:r w:rsidR="00DE64C3">
              <w:rPr>
                <w:rFonts w:cs="Times New Roman"/>
                <w:sz w:val="20"/>
                <w:szCs w:val="20"/>
              </w:rPr>
              <w:t>раждан в Российской Федерации»;</w:t>
            </w:r>
          </w:p>
          <w:p w:rsidR="00AB61C5" w:rsidRPr="00042219" w:rsidRDefault="00AB61C5" w:rsidP="00042219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Распоряжение Правительства Российской Федерации от 15.11.2017 № 2521-р «О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здравоохранения»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879" w:type="dxa"/>
            <w:shd w:val="clear" w:color="auto" w:fill="auto"/>
          </w:tcPr>
          <w:p w:rsidR="0067379F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67379F" w:rsidRPr="000B0A0D" w:rsidRDefault="0067379F" w:rsidP="000B0A0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 о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и безопасности деятельности </w:t>
            </w:r>
          </w:p>
        </w:tc>
        <w:tc>
          <w:tcPr>
            <w:tcW w:w="3401" w:type="dxa"/>
          </w:tcPr>
          <w:p w:rsidR="0067379F" w:rsidRPr="000B0A0D" w:rsidRDefault="0067379F" w:rsidP="00ED4CC5">
            <w:pPr>
              <w:ind w:right="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67379F" w:rsidRPr="00042219" w:rsidRDefault="00756E50" w:rsidP="00A04228">
            <w:pPr>
              <w:pStyle w:val="a9"/>
              <w:numPr>
                <w:ilvl w:val="0"/>
                <w:numId w:val="8"/>
              </w:numPr>
              <w:tabs>
                <w:tab w:val="left" w:pos="467"/>
              </w:tabs>
              <w:spacing w:after="0" w:line="240" w:lineRule="auto"/>
              <w:ind w:left="35" w:firstLine="0"/>
              <w:jc w:val="both"/>
              <w:rPr>
                <w:rFonts w:cs="Times New Roman"/>
                <w:sz w:val="20"/>
                <w:szCs w:val="20"/>
              </w:rPr>
            </w:pP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Минздра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 России от 31.07.2020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785н «</w:t>
            </w: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 утверждении Требований к организации и проведению внутреннего контроля качества и безопа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сности медицинской деятельности».</w:t>
            </w:r>
          </w:p>
        </w:tc>
        <w:tc>
          <w:tcPr>
            <w:tcW w:w="1589" w:type="dxa"/>
            <w:shd w:val="clear" w:color="auto" w:fill="auto"/>
          </w:tcPr>
          <w:p w:rsidR="0067379F" w:rsidRPr="000B0A0D" w:rsidRDefault="0067379F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67379F" w:rsidRPr="000B0A0D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67379F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879" w:type="dxa"/>
            <w:shd w:val="clear" w:color="auto" w:fill="auto"/>
          </w:tcPr>
          <w:p w:rsidR="0067379F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67379F" w:rsidRPr="000B0A0D" w:rsidRDefault="0067379F" w:rsidP="000249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врачебной комиссии медицинской организации, осуществляющей деятельность </w:t>
            </w:r>
          </w:p>
        </w:tc>
        <w:tc>
          <w:tcPr>
            <w:tcW w:w="3401" w:type="dxa"/>
          </w:tcPr>
          <w:p w:rsidR="00294F92" w:rsidRPr="000B0A0D" w:rsidRDefault="0067379F" w:rsidP="00A77374">
            <w:pPr>
              <w:ind w:right="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помощи, за исключением скорой медицинской помощи; услуг при проведении заместительной почечной терапии в амбулаторных условиях и в условиях дневного стационара; услуг при проведении диагностических исследований в амбулаторных условиях</w:t>
            </w:r>
          </w:p>
        </w:tc>
        <w:tc>
          <w:tcPr>
            <w:tcW w:w="3439" w:type="dxa"/>
          </w:tcPr>
          <w:p w:rsidR="0067379F" w:rsidRPr="00042219" w:rsidRDefault="00E40C29" w:rsidP="00E40C29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7" w:hanging="3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249EB"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риказ Министерства здравоохранения и социального развития РФ от 05.05.2012 №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9EB"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502н «Об утверждении Порядка создания и деятельности врачебной комиссии медицинской организации»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67379F" w:rsidRPr="000B0A0D" w:rsidRDefault="0067379F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67379F" w:rsidRPr="000B0A0D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67379F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D25101" w:rsidRPr="00AB61C5" w:rsidTr="00781A23">
        <w:tc>
          <w:tcPr>
            <w:tcW w:w="879" w:type="dxa"/>
            <w:shd w:val="clear" w:color="auto" w:fill="auto"/>
          </w:tcPr>
          <w:p w:rsidR="00D25101" w:rsidRPr="00AB61C5" w:rsidRDefault="00D25101" w:rsidP="003A49B3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A49B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D25101" w:rsidRPr="000B0A0D" w:rsidRDefault="00D25101" w:rsidP="00D2510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подключения медицинской организации к Единой 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информационной системе здравоохранения Российской Федерации (ЕГИСЗ) в части подсистем «Федеральный регистр медицинских работников» (ФРМР) и «Федеральный регистр медицинских организаций» (ФРМО) </w:t>
            </w:r>
          </w:p>
        </w:tc>
        <w:tc>
          <w:tcPr>
            <w:tcW w:w="3401" w:type="dxa"/>
          </w:tcPr>
          <w:p w:rsidR="00D25101" w:rsidRPr="000B0A0D" w:rsidRDefault="00D25101" w:rsidP="00D2510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Установленный показатель распространяется на все виды 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781A23" w:rsidRPr="00046602" w:rsidRDefault="00E40C29" w:rsidP="00781A23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both"/>
              <w:rPr>
                <w:rFonts w:cs="Times New Roman"/>
                <w:sz w:val="20"/>
                <w:szCs w:val="20"/>
              </w:rPr>
            </w:pP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81A23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91 «Информационное обеспечение в сфере 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здравоохранения»</w:t>
            </w:r>
            <w:r w:rsidR="00046602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81A23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91.1. «Единая государственная информационная система в сфере здравоохранения» Федерального закона от 21 ноября 2011 г.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323-Ф3 «Об основах охраны здоровья граждан в Российской Федерации»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25101" w:rsidRPr="00E40C29" w:rsidRDefault="00781A23" w:rsidP="00046602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 Постановления Правительства РФ от 05.05.2018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 единой государственной информационной системе в сфере здравоохранения»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D25101" w:rsidRPr="000B0A0D" w:rsidRDefault="00D25101" w:rsidP="00D251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D25101" w:rsidRDefault="00D25101" w:rsidP="00D25101"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D25101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16076" w:type="dxa"/>
            <w:gridSpan w:val="7"/>
          </w:tcPr>
          <w:p w:rsidR="0067379F" w:rsidRPr="00AB61C5" w:rsidRDefault="0067379F" w:rsidP="000B0A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379F" w:rsidRPr="00AB61C5" w:rsidTr="00781A23">
        <w:tc>
          <w:tcPr>
            <w:tcW w:w="4361" w:type="dxa"/>
            <w:gridSpan w:val="2"/>
            <w:shd w:val="clear" w:color="auto" w:fill="auto"/>
          </w:tcPr>
          <w:p w:rsidR="0067379F" w:rsidRPr="000B0A0D" w:rsidRDefault="000B0A0D" w:rsidP="000B0A0D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Итоговая сумма баллов согласно значению критериев:</w:t>
            </w:r>
          </w:p>
        </w:tc>
        <w:tc>
          <w:tcPr>
            <w:tcW w:w="3401" w:type="dxa"/>
          </w:tcPr>
          <w:p w:rsidR="0067379F" w:rsidRPr="00AB61C5" w:rsidRDefault="0067379F" w:rsidP="00AB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9" w:type="dxa"/>
          </w:tcPr>
          <w:p w:rsidR="0067379F" w:rsidRPr="00AB61C5" w:rsidRDefault="0067379F" w:rsidP="00AB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:rsidR="0067379F" w:rsidRPr="00AB61C5" w:rsidRDefault="0067379F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баллов</w:t>
            </w:r>
          </w:p>
        </w:tc>
      </w:tr>
    </w:tbl>
    <w:p w:rsidR="00AB61C5" w:rsidRDefault="00AB61C5" w:rsidP="00F27423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Настоящая информация достоверно отражает показатели деятельности медицинской организации и соответствует сведениям, указанным в уведомлении об осуществлении деятельности в сфере ОМС, в иных документах и информации, предоставленных в ходе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помощи.</w:t>
      </w:r>
    </w:p>
    <w:p w:rsidR="0095278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Разрешаю проверку возможности реализации заявленных медицинской организацией объемов медицинской помощи, полноты и достоверности указанных мед</w:t>
      </w:r>
      <w:r w:rsidR="00B023C5">
        <w:rPr>
          <w:rFonts w:ascii="Times New Roman" w:hAnsi="Times New Roman" w:cs="Times New Roman"/>
          <w:sz w:val="24"/>
          <w:szCs w:val="24"/>
        </w:rPr>
        <w:t>ицинской организацией сведений.</w:t>
      </w:r>
    </w:p>
    <w:p w:rsidR="00952785" w:rsidRPr="009E2A95" w:rsidRDefault="00952785" w:rsidP="0095278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Руководитель медицинской организации:</w:t>
      </w:r>
    </w:p>
    <w:tbl>
      <w:tblPr>
        <w:tblW w:w="9486" w:type="dxa"/>
        <w:tblInd w:w="-142" w:type="dxa"/>
        <w:tblLook w:val="00A0" w:firstRow="1" w:lastRow="0" w:firstColumn="1" w:lastColumn="0" w:noHBand="0" w:noVBand="0"/>
      </w:tblPr>
      <w:tblGrid>
        <w:gridCol w:w="138"/>
        <w:gridCol w:w="3209"/>
        <w:gridCol w:w="294"/>
        <w:gridCol w:w="2496"/>
        <w:gridCol w:w="3336"/>
        <w:gridCol w:w="13"/>
      </w:tblGrid>
      <w:tr w:rsidR="00952785" w:rsidRPr="009E2A95" w:rsidTr="000F1598">
        <w:trPr>
          <w:gridAfter w:val="1"/>
          <w:wAfter w:w="14" w:type="dxa"/>
          <w:trHeight w:val="272"/>
        </w:trPr>
        <w:tc>
          <w:tcPr>
            <w:tcW w:w="3681" w:type="dxa"/>
            <w:gridSpan w:val="3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55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52785" w:rsidRPr="009E2A95" w:rsidTr="000F1598">
        <w:trPr>
          <w:gridBefore w:val="1"/>
          <w:wBefore w:w="142" w:type="dxa"/>
          <w:trHeight w:val="80"/>
        </w:trPr>
        <w:tc>
          <w:tcPr>
            <w:tcW w:w="3230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764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350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</w:tbl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М.П.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Исполнитель (Ф.И.О. полностью) ________________________________________________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Тел._________________________</w:t>
      </w:r>
    </w:p>
    <w:p w:rsidR="005A395A" w:rsidRPr="009E2A95" w:rsidRDefault="005A395A" w:rsidP="000A5E39">
      <w:pPr>
        <w:autoSpaceDE w:val="0"/>
        <w:autoSpaceDN w:val="0"/>
        <w:adjustRightInd w:val="0"/>
        <w:spacing w:after="0" w:line="240" w:lineRule="auto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A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86FD0">
        <w:rPr>
          <w:rFonts w:ascii="Times New Roman" w:hAnsi="Times New Roman" w:cs="Times New Roman"/>
          <w:sz w:val="20"/>
          <w:szCs w:val="20"/>
        </w:rPr>
        <w:t>2</w:t>
      </w:r>
      <w:r w:rsidR="00FF6734" w:rsidRPr="009E2A95">
        <w:rPr>
          <w:rFonts w:ascii="Times New Roman" w:hAnsi="Times New Roman" w:cs="Times New Roman"/>
          <w:sz w:val="20"/>
          <w:szCs w:val="20"/>
        </w:rPr>
        <w:t xml:space="preserve"> </w:t>
      </w:r>
      <w:r w:rsidRPr="009E2A95">
        <w:rPr>
          <w:rFonts w:ascii="Times New Roman" w:hAnsi="Times New Roman" w:cs="Times New Roman"/>
          <w:sz w:val="20"/>
          <w:szCs w:val="20"/>
        </w:rPr>
        <w:t>к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</w:t>
      </w:r>
    </w:p>
    <w:p w:rsidR="005A395A" w:rsidRPr="009E2A95" w:rsidRDefault="005A395A" w:rsidP="000249EB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DE06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DE06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ПОКАЗАТЕЛИ ЭФФЕКТИВНОСТИ </w:t>
      </w: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деятельности медицинских организаций в целях </w:t>
      </w:r>
      <w:proofErr w:type="gramStart"/>
      <w:r w:rsidRPr="009E2A95">
        <w:rPr>
          <w:rFonts w:ascii="Times New Roman" w:hAnsi="Times New Roman" w:cs="Times New Roman"/>
          <w:sz w:val="24"/>
          <w:szCs w:val="24"/>
        </w:rPr>
        <w:t>определения возможности реализации заявленных объемов медицинской помощи</w:t>
      </w:r>
      <w:proofErr w:type="gramEnd"/>
      <w:r w:rsidRPr="009E2A9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E2A95">
        <w:rPr>
          <w:rFonts w:ascii="Times New Roman" w:hAnsi="Times New Roman" w:cs="Times New Roman"/>
          <w:bCs/>
          <w:sz w:val="24"/>
          <w:szCs w:val="24"/>
        </w:rPr>
        <w:t xml:space="preserve">территориальной программы </w:t>
      </w:r>
      <w:r w:rsidRPr="009E2A95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6312"/>
        <w:gridCol w:w="3544"/>
        <w:gridCol w:w="3260"/>
      </w:tblGrid>
      <w:tr w:rsidR="00D25101" w:rsidRPr="00002785" w:rsidTr="00D25101">
        <w:trPr>
          <w:trHeight w:val="604"/>
          <w:jc w:val="center"/>
        </w:trPr>
        <w:tc>
          <w:tcPr>
            <w:tcW w:w="600" w:type="dxa"/>
            <w:vMerge w:val="restart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0278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0278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6312" w:type="dxa"/>
            <w:vAlign w:val="center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Условие и наименование группы применяемых критериев</w:t>
            </w:r>
          </w:p>
        </w:tc>
        <w:tc>
          <w:tcPr>
            <w:tcW w:w="3544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326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Не соответствует предъявляемым требованиям</w:t>
            </w:r>
          </w:p>
        </w:tc>
      </w:tr>
      <w:tr w:rsidR="00D25101" w:rsidRPr="00002785" w:rsidTr="00D25101">
        <w:trPr>
          <w:jc w:val="center"/>
        </w:trPr>
        <w:tc>
          <w:tcPr>
            <w:tcW w:w="600" w:type="dxa"/>
            <w:vMerge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25101" w:rsidRPr="00244FC4" w:rsidTr="00D25101">
        <w:trPr>
          <w:trHeight w:val="529"/>
          <w:jc w:val="center"/>
        </w:trPr>
        <w:tc>
          <w:tcPr>
            <w:tcW w:w="60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</w:tcPr>
          <w:p w:rsidR="00D25101" w:rsidRPr="00002785" w:rsidRDefault="00D25101" w:rsidP="00D2510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 xml:space="preserve">Медицинская организация, включенная в реестр на территории </w:t>
            </w:r>
            <w:r w:rsidRPr="000027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Ненецкого автономного округа </w:t>
            </w:r>
          </w:p>
        </w:tc>
        <w:tc>
          <w:tcPr>
            <w:tcW w:w="3544" w:type="dxa"/>
          </w:tcPr>
          <w:p w:rsidR="00D25101" w:rsidRPr="00002785" w:rsidRDefault="00034CF2" w:rsidP="00A42A0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120</w:t>
            </w:r>
            <w:r w:rsidR="00D25101" w:rsidRPr="0000278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25101" w:rsidRPr="00002785">
              <w:rPr>
                <w:rFonts w:cs="Times New Roman"/>
                <w:sz w:val="20"/>
                <w:szCs w:val="20"/>
              </w:rPr>
              <w:t>баллов</w:t>
            </w:r>
            <w:r w:rsidR="00586FD0" w:rsidRPr="00002785">
              <w:rPr>
                <w:rFonts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3260" w:type="dxa"/>
          </w:tcPr>
          <w:p w:rsidR="00D25101" w:rsidRPr="00244FC4" w:rsidRDefault="00034CF2" w:rsidP="002C4541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</w:t>
            </w:r>
            <w:r w:rsidR="002C4541" w:rsidRPr="00002785">
              <w:rPr>
                <w:rFonts w:cs="Times New Roman"/>
                <w:sz w:val="20"/>
                <w:szCs w:val="20"/>
              </w:rPr>
              <w:t>1</w:t>
            </w:r>
            <w:r w:rsidRPr="00002785">
              <w:rPr>
                <w:rFonts w:cs="Times New Roman"/>
                <w:sz w:val="20"/>
                <w:szCs w:val="20"/>
              </w:rPr>
              <w:t xml:space="preserve">9 </w:t>
            </w:r>
            <w:r w:rsidR="00D25101" w:rsidRPr="00002785">
              <w:rPr>
                <w:rFonts w:cs="Times New Roman"/>
                <w:sz w:val="20"/>
                <w:szCs w:val="20"/>
              </w:rPr>
              <w:t>и менее баллов</w:t>
            </w:r>
          </w:p>
        </w:tc>
      </w:tr>
    </w:tbl>
    <w:p w:rsidR="005A395A" w:rsidRPr="00BB10D7" w:rsidRDefault="005A395A" w:rsidP="00BB10D7">
      <w:pPr>
        <w:tabs>
          <w:tab w:val="left" w:pos="12634"/>
        </w:tabs>
        <w:rPr>
          <w:rFonts w:ascii="Times New Roman" w:hAnsi="Times New Roman" w:cs="Times New Roman"/>
          <w:sz w:val="24"/>
          <w:szCs w:val="24"/>
        </w:rPr>
      </w:pPr>
    </w:p>
    <w:sectPr w:rsidR="005A395A" w:rsidRPr="00BB10D7" w:rsidSect="0001145E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8" w:rsidRDefault="000F1598" w:rsidP="005A395A">
      <w:pPr>
        <w:spacing w:after="0" w:line="240" w:lineRule="auto"/>
      </w:pPr>
      <w:r>
        <w:separator/>
      </w:r>
    </w:p>
  </w:endnote>
  <w:endnote w:type="continuationSeparator" w:id="0">
    <w:p w:rsidR="000F1598" w:rsidRDefault="000F1598" w:rsidP="005A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8594707"/>
      <w:docPartObj>
        <w:docPartGallery w:val="Page Numbers (Bottom of Page)"/>
        <w:docPartUnique/>
      </w:docPartObj>
    </w:sdtPr>
    <w:sdtEndPr/>
    <w:sdtContent>
      <w:p w:rsidR="000F1598" w:rsidRPr="00BB10D7" w:rsidRDefault="000F1598">
        <w:pPr>
          <w:pStyle w:val="ac"/>
          <w:jc w:val="right"/>
          <w:rPr>
            <w:rFonts w:ascii="Times New Roman" w:hAnsi="Times New Roman" w:cs="Times New Roman"/>
          </w:rPr>
        </w:pPr>
        <w:r w:rsidRPr="00BB10D7">
          <w:rPr>
            <w:rFonts w:ascii="Times New Roman" w:hAnsi="Times New Roman" w:cs="Times New Roman"/>
          </w:rPr>
          <w:fldChar w:fldCharType="begin"/>
        </w:r>
        <w:r w:rsidRPr="00BB10D7">
          <w:rPr>
            <w:rFonts w:ascii="Times New Roman" w:hAnsi="Times New Roman" w:cs="Times New Roman"/>
          </w:rPr>
          <w:instrText>PAGE   \* MERGEFORMAT</w:instrText>
        </w:r>
        <w:r w:rsidRPr="00BB10D7">
          <w:rPr>
            <w:rFonts w:ascii="Times New Roman" w:hAnsi="Times New Roman" w:cs="Times New Roman"/>
          </w:rPr>
          <w:fldChar w:fldCharType="separate"/>
        </w:r>
        <w:r w:rsidR="00C01AC8">
          <w:rPr>
            <w:rFonts w:ascii="Times New Roman" w:hAnsi="Times New Roman" w:cs="Times New Roman"/>
            <w:noProof/>
          </w:rPr>
          <w:t>3</w:t>
        </w:r>
        <w:r w:rsidRPr="00BB10D7">
          <w:rPr>
            <w:rFonts w:ascii="Times New Roman" w:hAnsi="Times New Roman" w:cs="Times New Roman"/>
          </w:rPr>
          <w:fldChar w:fldCharType="end"/>
        </w:r>
      </w:p>
    </w:sdtContent>
  </w:sdt>
  <w:p w:rsidR="000F1598" w:rsidRDefault="000F15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8" w:rsidRDefault="000F1598" w:rsidP="005A395A">
      <w:pPr>
        <w:spacing w:after="0" w:line="240" w:lineRule="auto"/>
      </w:pPr>
      <w:r>
        <w:separator/>
      </w:r>
    </w:p>
  </w:footnote>
  <w:footnote w:type="continuationSeparator" w:id="0">
    <w:p w:rsidR="000F1598" w:rsidRDefault="000F1598" w:rsidP="005A395A">
      <w:pPr>
        <w:spacing w:after="0" w:line="240" w:lineRule="auto"/>
      </w:pPr>
      <w:r>
        <w:continuationSeparator/>
      </w:r>
    </w:p>
  </w:footnote>
  <w:footnote w:id="1">
    <w:p w:rsidR="000F1598" w:rsidRDefault="000F1598" w:rsidP="00AB61C5">
      <w:pPr>
        <w:pStyle w:val="a6"/>
        <w:jc w:val="both"/>
      </w:pPr>
      <w:r>
        <w:rPr>
          <w:rStyle w:val="a8"/>
        </w:rPr>
        <w:footnoteRef/>
      </w:r>
      <w:r>
        <w:t xml:space="preserve"> Заполняется согласно столбцу «оценка» с указанием «да» / «нет» или фактическим показателем, если предусмотрена градация в соответствии с содержанием показателя, указанным в приложении 2 к настоящему Порядку.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32"/>
    <w:multiLevelType w:val="hybridMultilevel"/>
    <w:tmpl w:val="A8C08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4F1"/>
    <w:multiLevelType w:val="hybridMultilevel"/>
    <w:tmpl w:val="CAD84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3FA"/>
    <w:multiLevelType w:val="hybridMultilevel"/>
    <w:tmpl w:val="CBA4F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9B9"/>
    <w:multiLevelType w:val="hybridMultilevel"/>
    <w:tmpl w:val="8E3617A4"/>
    <w:lvl w:ilvl="0" w:tplc="3BD024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5C0"/>
    <w:multiLevelType w:val="hybridMultilevel"/>
    <w:tmpl w:val="851CFBD4"/>
    <w:lvl w:ilvl="0" w:tplc="C5F618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2DB7"/>
    <w:multiLevelType w:val="hybridMultilevel"/>
    <w:tmpl w:val="9FF60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1911"/>
    <w:multiLevelType w:val="hybridMultilevel"/>
    <w:tmpl w:val="04CE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6B3B"/>
    <w:multiLevelType w:val="hybridMultilevel"/>
    <w:tmpl w:val="BAF25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499"/>
    <w:multiLevelType w:val="hybridMultilevel"/>
    <w:tmpl w:val="F2BCB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4517"/>
    <w:multiLevelType w:val="hybridMultilevel"/>
    <w:tmpl w:val="4C4A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59ED"/>
    <w:multiLevelType w:val="hybridMultilevel"/>
    <w:tmpl w:val="558079D0"/>
    <w:lvl w:ilvl="0" w:tplc="7BDAEA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A"/>
    <w:rsid w:val="00002785"/>
    <w:rsid w:val="0001145E"/>
    <w:rsid w:val="00020327"/>
    <w:rsid w:val="000249EB"/>
    <w:rsid w:val="00034CF2"/>
    <w:rsid w:val="00035A0C"/>
    <w:rsid w:val="00042219"/>
    <w:rsid w:val="00046602"/>
    <w:rsid w:val="0004735B"/>
    <w:rsid w:val="00051841"/>
    <w:rsid w:val="00055FBD"/>
    <w:rsid w:val="00087A69"/>
    <w:rsid w:val="00097C06"/>
    <w:rsid w:val="000A5E39"/>
    <w:rsid w:val="000B0A0D"/>
    <w:rsid w:val="000B5FEF"/>
    <w:rsid w:val="000B7330"/>
    <w:rsid w:val="000F1598"/>
    <w:rsid w:val="000F3692"/>
    <w:rsid w:val="0011446A"/>
    <w:rsid w:val="001278CC"/>
    <w:rsid w:val="00130902"/>
    <w:rsid w:val="0013327C"/>
    <w:rsid w:val="001378DC"/>
    <w:rsid w:val="00182AB2"/>
    <w:rsid w:val="00193E47"/>
    <w:rsid w:val="001E222B"/>
    <w:rsid w:val="00221189"/>
    <w:rsid w:val="00227913"/>
    <w:rsid w:val="00233BD1"/>
    <w:rsid w:val="00240B2A"/>
    <w:rsid w:val="00244FC4"/>
    <w:rsid w:val="00250859"/>
    <w:rsid w:val="00261544"/>
    <w:rsid w:val="00285179"/>
    <w:rsid w:val="00294F92"/>
    <w:rsid w:val="002C4541"/>
    <w:rsid w:val="002E169E"/>
    <w:rsid w:val="002E2985"/>
    <w:rsid w:val="00303C25"/>
    <w:rsid w:val="00316E93"/>
    <w:rsid w:val="00326285"/>
    <w:rsid w:val="00327FB7"/>
    <w:rsid w:val="00351694"/>
    <w:rsid w:val="003777DF"/>
    <w:rsid w:val="0038632E"/>
    <w:rsid w:val="003876D7"/>
    <w:rsid w:val="003A49B3"/>
    <w:rsid w:val="00473539"/>
    <w:rsid w:val="00492259"/>
    <w:rsid w:val="004B70B1"/>
    <w:rsid w:val="004F3331"/>
    <w:rsid w:val="00523407"/>
    <w:rsid w:val="005352DE"/>
    <w:rsid w:val="00540919"/>
    <w:rsid w:val="00586FD0"/>
    <w:rsid w:val="00591D01"/>
    <w:rsid w:val="005A370B"/>
    <w:rsid w:val="005A395A"/>
    <w:rsid w:val="005A5B22"/>
    <w:rsid w:val="005A5CE7"/>
    <w:rsid w:val="005C7947"/>
    <w:rsid w:val="005D3670"/>
    <w:rsid w:val="006437D6"/>
    <w:rsid w:val="0067379F"/>
    <w:rsid w:val="00681305"/>
    <w:rsid w:val="0070095B"/>
    <w:rsid w:val="007370DB"/>
    <w:rsid w:val="007414F2"/>
    <w:rsid w:val="0074375F"/>
    <w:rsid w:val="00756E50"/>
    <w:rsid w:val="00781A23"/>
    <w:rsid w:val="00791730"/>
    <w:rsid w:val="007A067D"/>
    <w:rsid w:val="007A288C"/>
    <w:rsid w:val="007A5A23"/>
    <w:rsid w:val="007C2EDF"/>
    <w:rsid w:val="007E6D00"/>
    <w:rsid w:val="007F27F2"/>
    <w:rsid w:val="007F644F"/>
    <w:rsid w:val="0081509E"/>
    <w:rsid w:val="00857D2B"/>
    <w:rsid w:val="00861EC2"/>
    <w:rsid w:val="00873994"/>
    <w:rsid w:val="008B1A2C"/>
    <w:rsid w:val="008D1F64"/>
    <w:rsid w:val="00927C3D"/>
    <w:rsid w:val="009509E0"/>
    <w:rsid w:val="00952785"/>
    <w:rsid w:val="009B1B69"/>
    <w:rsid w:val="009C43CC"/>
    <w:rsid w:val="009D4AA1"/>
    <w:rsid w:val="009E2A95"/>
    <w:rsid w:val="009F1A56"/>
    <w:rsid w:val="00A04228"/>
    <w:rsid w:val="00A11572"/>
    <w:rsid w:val="00A23E98"/>
    <w:rsid w:val="00A31A54"/>
    <w:rsid w:val="00A35DE3"/>
    <w:rsid w:val="00A42A00"/>
    <w:rsid w:val="00A470FE"/>
    <w:rsid w:val="00A77374"/>
    <w:rsid w:val="00A845D4"/>
    <w:rsid w:val="00AB61C5"/>
    <w:rsid w:val="00AC4C88"/>
    <w:rsid w:val="00AD25D9"/>
    <w:rsid w:val="00AD68CF"/>
    <w:rsid w:val="00AD69CF"/>
    <w:rsid w:val="00B023C5"/>
    <w:rsid w:val="00B21284"/>
    <w:rsid w:val="00B529C4"/>
    <w:rsid w:val="00B67673"/>
    <w:rsid w:val="00B707B4"/>
    <w:rsid w:val="00BB10D7"/>
    <w:rsid w:val="00BE1AF9"/>
    <w:rsid w:val="00BF48DB"/>
    <w:rsid w:val="00BF6A22"/>
    <w:rsid w:val="00C01AC8"/>
    <w:rsid w:val="00C07D43"/>
    <w:rsid w:val="00C37254"/>
    <w:rsid w:val="00C57FD4"/>
    <w:rsid w:val="00CB095D"/>
    <w:rsid w:val="00CC3548"/>
    <w:rsid w:val="00CC7E7F"/>
    <w:rsid w:val="00CD0A59"/>
    <w:rsid w:val="00CD1FA2"/>
    <w:rsid w:val="00CE6FE2"/>
    <w:rsid w:val="00CF676B"/>
    <w:rsid w:val="00CF7F84"/>
    <w:rsid w:val="00D1392F"/>
    <w:rsid w:val="00D171B9"/>
    <w:rsid w:val="00D25101"/>
    <w:rsid w:val="00D45C31"/>
    <w:rsid w:val="00D52D83"/>
    <w:rsid w:val="00D92256"/>
    <w:rsid w:val="00DE0655"/>
    <w:rsid w:val="00DE64C3"/>
    <w:rsid w:val="00DF5B24"/>
    <w:rsid w:val="00E00184"/>
    <w:rsid w:val="00E313BC"/>
    <w:rsid w:val="00E3631A"/>
    <w:rsid w:val="00E40C29"/>
    <w:rsid w:val="00E7623C"/>
    <w:rsid w:val="00E97417"/>
    <w:rsid w:val="00EB6BF9"/>
    <w:rsid w:val="00ED4CC5"/>
    <w:rsid w:val="00ED5B2D"/>
    <w:rsid w:val="00EE7015"/>
    <w:rsid w:val="00EF2538"/>
    <w:rsid w:val="00F27423"/>
    <w:rsid w:val="00F55F57"/>
    <w:rsid w:val="00F97251"/>
    <w:rsid w:val="00FA7FF1"/>
    <w:rsid w:val="00FB3137"/>
    <w:rsid w:val="00FC40A7"/>
    <w:rsid w:val="00FD095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fomssk.ru/files/doc/&#1055;&#1088;&#1080;&#1083;&#1086;&#1078;&#1077;&#1085;&#1080;&#1077;_3_&#1055;&#1086;&#1082;&#1072;&#1079;&#1072;&#1090;&#1077;&#1083;&#1080;%20&#1101;&#1092;&#1092;&#1077;&#1082;&#1090;&#1080;&#1074;&#1085;&#1086;&#1089;&#1090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fomssk.ru/files/doc/&#1055;&#1088;&#1080;&#1083;&#1086;&#1078;&#1077;&#1085;&#1080;&#1077;_1_%20&#1054;&#1094;&#1077;&#1085;&#1086;&#1095;&#1085;&#1099;&#1081;%20&#1083;&#1080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1D3E-8230-4CBD-96C4-CC051DC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Ю.А.. Ардеева</dc:creator>
  <cp:lastModifiedBy>Надежда Успенская</cp:lastModifiedBy>
  <cp:revision>177</cp:revision>
  <dcterms:created xsi:type="dcterms:W3CDTF">2020-02-05T11:01:00Z</dcterms:created>
  <dcterms:modified xsi:type="dcterms:W3CDTF">2023-07-10T12:37:00Z</dcterms:modified>
</cp:coreProperties>
</file>